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F7AD" w14:textId="77777777" w:rsidR="00A50503" w:rsidRPr="00A50503" w:rsidRDefault="00A50503" w:rsidP="004334ED">
      <w:pPr>
        <w:rPr>
          <w:rFonts w:ascii="Arial" w:eastAsiaTheme="minorEastAsia" w:hAnsi="Arial" w:cs="Arial"/>
          <w:b/>
          <w:sz w:val="2"/>
          <w:lang w:val="en-US" w:eastAsia="ja-JP"/>
        </w:rPr>
      </w:pPr>
    </w:p>
    <w:p w14:paraId="0D7798B1" w14:textId="6BAAC96B" w:rsidR="000A7162" w:rsidRDefault="00962004" w:rsidP="00C51C82">
      <w:pPr>
        <w:rPr>
          <w:rFonts w:ascii="Arial" w:eastAsiaTheme="minorEastAsia" w:hAnsi="Arial" w:cs="Arial"/>
          <w:b/>
          <w:color w:val="000000" w:themeColor="text1"/>
          <w:sz w:val="32"/>
          <w:lang w:val="en-US" w:eastAsia="ja-JP"/>
        </w:rPr>
      </w:pPr>
      <w:r>
        <w:rPr>
          <w:rFonts w:ascii="Arial" w:eastAsiaTheme="minorEastAsia" w:hAnsi="Arial" w:cs="Arial"/>
          <w:b/>
          <w:color w:val="000000" w:themeColor="text1"/>
          <w:sz w:val="32"/>
          <w:lang w:val="en-US" w:eastAsia="ja-JP"/>
        </w:rPr>
        <w:t xml:space="preserve">Gender </w:t>
      </w:r>
      <w:r w:rsidR="00447EA9">
        <w:rPr>
          <w:rFonts w:ascii="Arial" w:eastAsiaTheme="minorEastAsia" w:hAnsi="Arial" w:cs="Arial"/>
          <w:b/>
          <w:color w:val="000000" w:themeColor="text1"/>
          <w:sz w:val="32"/>
          <w:lang w:val="en-US" w:eastAsia="ja-JP"/>
        </w:rPr>
        <w:t>P</w:t>
      </w:r>
      <w:r>
        <w:rPr>
          <w:rFonts w:ascii="Arial" w:eastAsiaTheme="minorEastAsia" w:hAnsi="Arial" w:cs="Arial"/>
          <w:b/>
          <w:color w:val="000000" w:themeColor="text1"/>
          <w:sz w:val="32"/>
          <w:lang w:val="en-US" w:eastAsia="ja-JP"/>
        </w:rPr>
        <w:t xml:space="preserve">ay </w:t>
      </w:r>
      <w:r w:rsidR="00447EA9">
        <w:rPr>
          <w:rFonts w:ascii="Arial" w:eastAsiaTheme="minorEastAsia" w:hAnsi="Arial" w:cs="Arial"/>
          <w:b/>
          <w:color w:val="000000" w:themeColor="text1"/>
          <w:sz w:val="32"/>
          <w:lang w:val="en-US" w:eastAsia="ja-JP"/>
        </w:rPr>
        <w:t>G</w:t>
      </w:r>
      <w:r>
        <w:rPr>
          <w:rFonts w:ascii="Arial" w:eastAsiaTheme="minorEastAsia" w:hAnsi="Arial" w:cs="Arial"/>
          <w:b/>
          <w:color w:val="000000" w:themeColor="text1"/>
          <w:sz w:val="32"/>
          <w:lang w:val="en-US" w:eastAsia="ja-JP"/>
        </w:rPr>
        <w:t>ap reporting statement</w:t>
      </w:r>
      <w:r w:rsidR="00FC719D">
        <w:rPr>
          <w:rFonts w:ascii="Arial" w:eastAsiaTheme="minorEastAsia" w:hAnsi="Arial" w:cs="Arial"/>
          <w:b/>
          <w:color w:val="000000" w:themeColor="text1"/>
          <w:sz w:val="32"/>
          <w:lang w:val="en-US" w:eastAsia="ja-JP"/>
        </w:rPr>
        <w:t xml:space="preserve"> </w:t>
      </w:r>
      <w:r w:rsidR="00DF1BCA">
        <w:rPr>
          <w:rFonts w:ascii="Arial" w:eastAsiaTheme="minorEastAsia" w:hAnsi="Arial" w:cs="Arial"/>
          <w:b/>
          <w:color w:val="000000" w:themeColor="text1"/>
          <w:sz w:val="32"/>
          <w:lang w:val="en-US" w:eastAsia="ja-JP"/>
        </w:rPr>
        <w:t>2022</w:t>
      </w:r>
    </w:p>
    <w:p w14:paraId="68911C40" w14:textId="11FDF6EC" w:rsidR="00B650CA" w:rsidRDefault="007F6CD3" w:rsidP="00C51C82">
      <w:pPr>
        <w:rPr>
          <w:rFonts w:ascii="Arial" w:eastAsiaTheme="minorEastAsia" w:hAnsi="Arial" w:cs="Arial"/>
          <w:b/>
          <w:color w:val="000000" w:themeColor="text1"/>
          <w:sz w:val="32"/>
          <w:lang w:val="en-US" w:eastAsia="ja-JP"/>
        </w:rPr>
      </w:pPr>
      <w:r>
        <w:rPr>
          <w:rFonts w:ascii="Arial" w:eastAsiaTheme="minorEastAsia" w:hAnsi="Arial" w:cs="Arial"/>
          <w:lang w:val="en-US" w:eastAsia="ja-JP"/>
        </w:rPr>
        <w:t>Ironstone Academy Trust is required by law to carry out Gender Pay Reporting under the Equality Act 2010 (Gender Pay Gap Information) Regulations 2017</w:t>
      </w:r>
      <w:r w:rsidR="00243AB1">
        <w:rPr>
          <w:rFonts w:ascii="Arial" w:eastAsiaTheme="minorEastAsia" w:hAnsi="Arial" w:cs="Arial"/>
          <w:lang w:val="en-US" w:eastAsia="ja-JP"/>
        </w:rPr>
        <w:t xml:space="preserve">.  This involves carrying out six calculations that show the difference between the average earnings of men and women in our organization.  </w:t>
      </w:r>
    </w:p>
    <w:p w14:paraId="6147E9ED" w14:textId="184BE7DC" w:rsidR="00F567F5" w:rsidRDefault="00F567F5" w:rsidP="00962004">
      <w:pPr>
        <w:jc w:val="both"/>
        <w:rPr>
          <w:rFonts w:ascii="Arial" w:hAnsi="Arial" w:cs="Arial"/>
          <w:b/>
        </w:rPr>
      </w:pPr>
      <w:r>
        <w:rPr>
          <w:rFonts w:ascii="Arial" w:hAnsi="Arial" w:cs="Arial"/>
          <w:b/>
        </w:rPr>
        <w:t>Employee overview</w:t>
      </w:r>
    </w:p>
    <w:p w14:paraId="330A9E6B" w14:textId="7C2D8B2B" w:rsidR="00F567F5" w:rsidRDefault="00F567F5" w:rsidP="00962004">
      <w:pPr>
        <w:jc w:val="both"/>
        <w:rPr>
          <w:rFonts w:ascii="Arial" w:hAnsi="Arial" w:cs="Arial"/>
        </w:rPr>
      </w:pPr>
      <w:r>
        <w:rPr>
          <w:rFonts w:ascii="Arial" w:hAnsi="Arial" w:cs="Arial"/>
        </w:rPr>
        <w:t>Our gender pay gap information is based on the total number of male and female full-pay employees. This is as follows:</w:t>
      </w:r>
    </w:p>
    <w:tbl>
      <w:tblPr>
        <w:tblStyle w:val="TableGrid"/>
        <w:tblW w:w="0" w:type="auto"/>
        <w:jc w:val="center"/>
        <w:tblLook w:val="04A0" w:firstRow="1" w:lastRow="0" w:firstColumn="1" w:lastColumn="0" w:noHBand="0" w:noVBand="1"/>
      </w:tblPr>
      <w:tblGrid>
        <w:gridCol w:w="4285"/>
        <w:gridCol w:w="4078"/>
      </w:tblGrid>
      <w:tr w:rsidR="00F567F5" w14:paraId="33C40EEC" w14:textId="77777777" w:rsidTr="00F567F5">
        <w:trPr>
          <w:trHeight w:val="419"/>
          <w:jc w:val="center"/>
        </w:trPr>
        <w:tc>
          <w:tcPr>
            <w:tcW w:w="4285" w:type="dxa"/>
            <w:shd w:val="clear" w:color="auto" w:fill="004251"/>
            <w:vAlign w:val="center"/>
          </w:tcPr>
          <w:p w14:paraId="39D01761" w14:textId="49576341" w:rsidR="00F567F5" w:rsidRPr="00F567F5" w:rsidRDefault="00F567F5" w:rsidP="00F567F5">
            <w:pPr>
              <w:jc w:val="center"/>
              <w:rPr>
                <w:rFonts w:ascii="Arial" w:hAnsi="Arial" w:cs="Arial"/>
              </w:rPr>
            </w:pPr>
            <w:r w:rsidRPr="00F567F5">
              <w:rPr>
                <w:rFonts w:ascii="Arial" w:hAnsi="Arial" w:cs="Arial"/>
              </w:rPr>
              <w:t>Gender</w:t>
            </w:r>
          </w:p>
        </w:tc>
        <w:tc>
          <w:tcPr>
            <w:tcW w:w="4078" w:type="dxa"/>
            <w:shd w:val="clear" w:color="auto" w:fill="004251"/>
            <w:vAlign w:val="center"/>
          </w:tcPr>
          <w:p w14:paraId="7F1DC2B8" w14:textId="31E58CF3" w:rsidR="00F567F5" w:rsidRPr="00F567F5" w:rsidRDefault="00F567F5" w:rsidP="00F567F5">
            <w:pPr>
              <w:jc w:val="center"/>
              <w:rPr>
                <w:rFonts w:ascii="Arial" w:hAnsi="Arial" w:cs="Arial"/>
              </w:rPr>
            </w:pPr>
            <w:r w:rsidRPr="00F567F5">
              <w:rPr>
                <w:rFonts w:ascii="Arial" w:hAnsi="Arial" w:cs="Arial"/>
              </w:rPr>
              <w:t>Total number of full</w:t>
            </w:r>
            <w:r w:rsidR="0009158B">
              <w:rPr>
                <w:rFonts w:ascii="Arial" w:hAnsi="Arial" w:cs="Arial"/>
              </w:rPr>
              <w:t>-</w:t>
            </w:r>
            <w:r w:rsidRPr="00F567F5">
              <w:rPr>
                <w:rFonts w:ascii="Arial" w:hAnsi="Arial" w:cs="Arial"/>
              </w:rPr>
              <w:t>pay employees</w:t>
            </w:r>
          </w:p>
        </w:tc>
      </w:tr>
      <w:tr w:rsidR="00F567F5" w14:paraId="268AB1E8" w14:textId="77777777" w:rsidTr="00F567F5">
        <w:trPr>
          <w:trHeight w:val="410"/>
          <w:jc w:val="center"/>
        </w:trPr>
        <w:tc>
          <w:tcPr>
            <w:tcW w:w="4285" w:type="dxa"/>
            <w:vAlign w:val="center"/>
          </w:tcPr>
          <w:p w14:paraId="037D33CD" w14:textId="5E4DE916" w:rsidR="00F567F5" w:rsidRDefault="00F567F5" w:rsidP="00F567F5">
            <w:pPr>
              <w:jc w:val="center"/>
              <w:rPr>
                <w:rFonts w:ascii="Arial" w:hAnsi="Arial" w:cs="Arial"/>
              </w:rPr>
            </w:pPr>
            <w:r>
              <w:rPr>
                <w:rFonts w:ascii="Arial" w:hAnsi="Arial" w:cs="Arial"/>
              </w:rPr>
              <w:t>Male</w:t>
            </w:r>
          </w:p>
        </w:tc>
        <w:tc>
          <w:tcPr>
            <w:tcW w:w="4078" w:type="dxa"/>
            <w:vAlign w:val="center"/>
          </w:tcPr>
          <w:p w14:paraId="7538FE8F" w14:textId="4AE69051" w:rsidR="00F567F5" w:rsidRPr="00E6287A" w:rsidRDefault="00861EF0" w:rsidP="00F567F5">
            <w:pPr>
              <w:jc w:val="center"/>
              <w:rPr>
                <w:rFonts w:ascii="Arial" w:hAnsi="Arial" w:cs="Arial"/>
                <w:b/>
              </w:rPr>
            </w:pPr>
            <w:r>
              <w:rPr>
                <w:rFonts w:ascii="Arial" w:hAnsi="Arial" w:cs="Arial"/>
                <w:b/>
              </w:rPr>
              <w:t>2</w:t>
            </w:r>
            <w:r w:rsidR="00DF1BCA">
              <w:rPr>
                <w:rFonts w:ascii="Arial" w:hAnsi="Arial" w:cs="Arial"/>
                <w:b/>
              </w:rPr>
              <w:t>1</w:t>
            </w:r>
          </w:p>
        </w:tc>
      </w:tr>
      <w:tr w:rsidR="00F567F5" w14:paraId="4F1B3C2B" w14:textId="77777777" w:rsidTr="00F567F5">
        <w:trPr>
          <w:trHeight w:val="416"/>
          <w:jc w:val="center"/>
        </w:trPr>
        <w:tc>
          <w:tcPr>
            <w:tcW w:w="4285" w:type="dxa"/>
            <w:vAlign w:val="center"/>
          </w:tcPr>
          <w:p w14:paraId="31D7D1CC" w14:textId="253C80AF" w:rsidR="00F567F5" w:rsidRDefault="00F567F5" w:rsidP="00F567F5">
            <w:pPr>
              <w:jc w:val="center"/>
              <w:rPr>
                <w:rFonts w:ascii="Arial" w:hAnsi="Arial" w:cs="Arial"/>
              </w:rPr>
            </w:pPr>
            <w:r>
              <w:rPr>
                <w:rFonts w:ascii="Arial" w:hAnsi="Arial" w:cs="Arial"/>
              </w:rPr>
              <w:t>Female</w:t>
            </w:r>
          </w:p>
        </w:tc>
        <w:tc>
          <w:tcPr>
            <w:tcW w:w="4078" w:type="dxa"/>
            <w:vAlign w:val="center"/>
          </w:tcPr>
          <w:p w14:paraId="3F9841A5" w14:textId="4DB16E30" w:rsidR="00F567F5" w:rsidRPr="00E6287A" w:rsidRDefault="00861EF0" w:rsidP="00F567F5">
            <w:pPr>
              <w:jc w:val="center"/>
              <w:rPr>
                <w:rFonts w:ascii="Arial" w:hAnsi="Arial" w:cs="Arial"/>
                <w:b/>
              </w:rPr>
            </w:pPr>
            <w:r>
              <w:rPr>
                <w:rFonts w:ascii="Arial" w:hAnsi="Arial" w:cs="Arial"/>
                <w:b/>
              </w:rPr>
              <w:t>2</w:t>
            </w:r>
            <w:r w:rsidR="00DF1BCA">
              <w:rPr>
                <w:rFonts w:ascii="Arial" w:hAnsi="Arial" w:cs="Arial"/>
                <w:b/>
              </w:rPr>
              <w:t>32</w:t>
            </w:r>
          </w:p>
        </w:tc>
      </w:tr>
    </w:tbl>
    <w:p w14:paraId="7AF42CDF" w14:textId="77777777" w:rsidR="00F567F5" w:rsidRDefault="00F567F5" w:rsidP="00962004">
      <w:pPr>
        <w:jc w:val="both"/>
        <w:rPr>
          <w:rFonts w:ascii="Arial" w:hAnsi="Arial" w:cs="Arial"/>
          <w:b/>
        </w:rPr>
      </w:pPr>
    </w:p>
    <w:p w14:paraId="07689D8F" w14:textId="1880D0FB" w:rsidR="00F567F5" w:rsidRDefault="00F567F5" w:rsidP="00962004">
      <w:pPr>
        <w:jc w:val="both"/>
        <w:rPr>
          <w:rFonts w:ascii="Arial" w:hAnsi="Arial" w:cs="Arial"/>
          <w:b/>
        </w:rPr>
      </w:pPr>
      <w:r>
        <w:rPr>
          <w:rFonts w:ascii="Arial" w:hAnsi="Arial" w:cs="Arial"/>
          <w:b/>
        </w:rPr>
        <w:t>Mean and median information</w:t>
      </w:r>
    </w:p>
    <w:p w14:paraId="0D41660E" w14:textId="28995C58" w:rsidR="00064C63" w:rsidRPr="0007260F" w:rsidRDefault="0007260F" w:rsidP="00962004">
      <w:pPr>
        <w:jc w:val="both"/>
        <w:rPr>
          <w:rFonts w:ascii="Arial" w:hAnsi="Arial" w:cs="Arial"/>
          <w:color w:val="000000" w:themeColor="text1"/>
        </w:rPr>
      </w:pPr>
      <w:r w:rsidRPr="0007260F">
        <w:rPr>
          <w:rFonts w:ascii="Arial" w:hAnsi="Arial" w:cs="Arial"/>
          <w:color w:val="000000" w:themeColor="text1"/>
        </w:rPr>
        <w:t xml:space="preserve">The table below shows the difference in hourly and bonus pay </w:t>
      </w:r>
      <w:r w:rsidR="00C077CF">
        <w:rPr>
          <w:rFonts w:ascii="Arial" w:hAnsi="Arial" w:cs="Arial"/>
          <w:color w:val="000000" w:themeColor="text1"/>
        </w:rPr>
        <w:t>between</w:t>
      </w:r>
      <w:r w:rsidRPr="0007260F">
        <w:rPr>
          <w:rFonts w:ascii="Arial" w:hAnsi="Arial" w:cs="Arial"/>
          <w:color w:val="000000" w:themeColor="text1"/>
        </w:rPr>
        <w:t xml:space="preserve"> our male and female full-pay employees.</w:t>
      </w:r>
    </w:p>
    <w:tbl>
      <w:tblPr>
        <w:tblStyle w:val="TableGrid"/>
        <w:tblW w:w="14232" w:type="dxa"/>
        <w:jc w:val="center"/>
        <w:tblLook w:val="04A0" w:firstRow="1" w:lastRow="0" w:firstColumn="1" w:lastColumn="0" w:noHBand="0" w:noVBand="1"/>
      </w:tblPr>
      <w:tblGrid>
        <w:gridCol w:w="2713"/>
        <w:gridCol w:w="2469"/>
        <w:gridCol w:w="2615"/>
        <w:gridCol w:w="3176"/>
        <w:gridCol w:w="3259"/>
      </w:tblGrid>
      <w:tr w:rsidR="00AD3F33" w14:paraId="55A99A1A" w14:textId="77777777" w:rsidTr="008B5A77">
        <w:trPr>
          <w:trHeight w:val="567"/>
          <w:jc w:val="center"/>
        </w:trPr>
        <w:tc>
          <w:tcPr>
            <w:tcW w:w="2713" w:type="dxa"/>
            <w:tcBorders>
              <w:top w:val="nil"/>
              <w:left w:val="nil"/>
            </w:tcBorders>
            <w:shd w:val="clear" w:color="auto" w:fill="FFFFFF" w:themeFill="background1"/>
          </w:tcPr>
          <w:p w14:paraId="73FC2084" w14:textId="77777777" w:rsidR="00AD3F33" w:rsidRPr="00F567F5" w:rsidRDefault="00AD3F33" w:rsidP="008B5A77">
            <w:pPr>
              <w:jc w:val="center"/>
              <w:rPr>
                <w:rFonts w:ascii="Arial" w:hAnsi="Arial" w:cs="Arial"/>
              </w:rPr>
            </w:pPr>
          </w:p>
        </w:tc>
        <w:tc>
          <w:tcPr>
            <w:tcW w:w="2469" w:type="dxa"/>
            <w:shd w:val="clear" w:color="auto" w:fill="004251"/>
            <w:vAlign w:val="center"/>
          </w:tcPr>
          <w:p w14:paraId="2A786BAE" w14:textId="43779C3E" w:rsidR="00AD3F33" w:rsidRPr="00F567F5" w:rsidRDefault="00AD3F33" w:rsidP="008B5A77">
            <w:pPr>
              <w:jc w:val="center"/>
              <w:rPr>
                <w:rFonts w:ascii="Arial" w:hAnsi="Arial" w:cs="Arial"/>
              </w:rPr>
            </w:pPr>
            <w:r w:rsidRPr="00F567F5">
              <w:rPr>
                <w:rFonts w:ascii="Arial" w:hAnsi="Arial" w:cs="Arial"/>
              </w:rPr>
              <w:t>Mean</w:t>
            </w:r>
            <w:r>
              <w:rPr>
                <w:rFonts w:ascii="Arial" w:hAnsi="Arial" w:cs="Arial"/>
              </w:rPr>
              <w:t xml:space="preserve"> gender pay gap in hourly pay (+/-) </w:t>
            </w:r>
          </w:p>
        </w:tc>
        <w:tc>
          <w:tcPr>
            <w:tcW w:w="2615" w:type="dxa"/>
            <w:shd w:val="clear" w:color="auto" w:fill="004251"/>
            <w:vAlign w:val="center"/>
          </w:tcPr>
          <w:p w14:paraId="68C7B246" w14:textId="67F5C594" w:rsidR="00AD3F33" w:rsidRPr="00F567F5" w:rsidRDefault="00AD3F33" w:rsidP="008B5A77">
            <w:pPr>
              <w:jc w:val="center"/>
              <w:rPr>
                <w:rFonts w:ascii="Arial" w:hAnsi="Arial" w:cs="Arial"/>
              </w:rPr>
            </w:pPr>
            <w:r w:rsidRPr="00F567F5">
              <w:rPr>
                <w:rFonts w:ascii="Arial" w:hAnsi="Arial" w:cs="Arial"/>
              </w:rPr>
              <w:t>Media</w:t>
            </w:r>
            <w:r>
              <w:rPr>
                <w:rFonts w:ascii="Arial" w:hAnsi="Arial" w:cs="Arial"/>
              </w:rPr>
              <w:t>n gender pay gap in</w:t>
            </w:r>
            <w:r w:rsidRPr="00F567F5">
              <w:rPr>
                <w:rFonts w:ascii="Arial" w:hAnsi="Arial" w:cs="Arial"/>
              </w:rPr>
              <w:t xml:space="preserve"> </w:t>
            </w:r>
            <w:r>
              <w:rPr>
                <w:rFonts w:ascii="Arial" w:hAnsi="Arial" w:cs="Arial"/>
              </w:rPr>
              <w:t xml:space="preserve">hourly pay (+/-)  </w:t>
            </w:r>
          </w:p>
        </w:tc>
        <w:tc>
          <w:tcPr>
            <w:tcW w:w="3176" w:type="dxa"/>
            <w:shd w:val="clear" w:color="auto" w:fill="004251"/>
            <w:vAlign w:val="center"/>
          </w:tcPr>
          <w:p w14:paraId="500F0CE2" w14:textId="2E848EBA" w:rsidR="00AD3F33" w:rsidRPr="00F567F5" w:rsidRDefault="00AD3F33" w:rsidP="008B5A77">
            <w:pPr>
              <w:jc w:val="center"/>
              <w:rPr>
                <w:rFonts w:ascii="Arial" w:hAnsi="Arial" w:cs="Arial"/>
              </w:rPr>
            </w:pPr>
            <w:r>
              <w:rPr>
                <w:rFonts w:ascii="Arial" w:hAnsi="Arial" w:cs="Arial"/>
              </w:rPr>
              <w:t>Difference in m</w:t>
            </w:r>
            <w:r w:rsidRPr="00F567F5">
              <w:rPr>
                <w:rFonts w:ascii="Arial" w:hAnsi="Arial" w:cs="Arial"/>
              </w:rPr>
              <w:t xml:space="preserve">ean bonus </w:t>
            </w:r>
            <w:r>
              <w:rPr>
                <w:rFonts w:ascii="Arial" w:hAnsi="Arial" w:cs="Arial"/>
              </w:rPr>
              <w:t xml:space="preserve">pay (+/-)  </w:t>
            </w:r>
          </w:p>
        </w:tc>
        <w:tc>
          <w:tcPr>
            <w:tcW w:w="3259" w:type="dxa"/>
            <w:shd w:val="clear" w:color="auto" w:fill="004251"/>
            <w:vAlign w:val="center"/>
          </w:tcPr>
          <w:p w14:paraId="6C6E11B1" w14:textId="7752BBD1" w:rsidR="00AD3F33" w:rsidRPr="00F567F5" w:rsidRDefault="00AD3F33" w:rsidP="008B5A77">
            <w:pPr>
              <w:jc w:val="center"/>
              <w:rPr>
                <w:rFonts w:ascii="Arial" w:hAnsi="Arial" w:cs="Arial"/>
              </w:rPr>
            </w:pPr>
            <w:r>
              <w:rPr>
                <w:rFonts w:ascii="Arial" w:hAnsi="Arial" w:cs="Arial"/>
              </w:rPr>
              <w:t>Difference in m</w:t>
            </w:r>
            <w:r w:rsidRPr="00F567F5">
              <w:rPr>
                <w:rFonts w:ascii="Arial" w:hAnsi="Arial" w:cs="Arial"/>
              </w:rPr>
              <w:t xml:space="preserve">edian bonus </w:t>
            </w:r>
            <w:r>
              <w:rPr>
                <w:rFonts w:ascii="Arial" w:hAnsi="Arial" w:cs="Arial"/>
              </w:rPr>
              <w:t xml:space="preserve">pay (+/-)  </w:t>
            </w:r>
          </w:p>
        </w:tc>
      </w:tr>
      <w:tr w:rsidR="00AD3F33" w14:paraId="7CC8EB7B" w14:textId="77777777" w:rsidTr="008B5A77">
        <w:trPr>
          <w:trHeight w:val="590"/>
          <w:jc w:val="center"/>
        </w:trPr>
        <w:tc>
          <w:tcPr>
            <w:tcW w:w="2713" w:type="dxa"/>
            <w:shd w:val="clear" w:color="auto" w:fill="FFFFFF" w:themeFill="background1"/>
            <w:vAlign w:val="center"/>
          </w:tcPr>
          <w:p w14:paraId="6689B960" w14:textId="79339326" w:rsidR="00AD3F33" w:rsidRPr="00064C63" w:rsidRDefault="00AD3F33" w:rsidP="008B5A77">
            <w:pPr>
              <w:jc w:val="center"/>
              <w:rPr>
                <w:rFonts w:ascii="Arial" w:hAnsi="Arial" w:cs="Arial"/>
                <w:color w:val="FFD006"/>
              </w:rPr>
            </w:pPr>
            <w:r w:rsidRPr="00064C63">
              <w:rPr>
                <w:rFonts w:ascii="Arial" w:hAnsi="Arial" w:cs="Arial"/>
                <w:color w:val="000000" w:themeColor="text1"/>
              </w:rPr>
              <w:t xml:space="preserve">Difference in </w:t>
            </w:r>
            <w:r>
              <w:rPr>
                <w:rFonts w:ascii="Arial" w:hAnsi="Arial" w:cs="Arial"/>
                <w:color w:val="000000" w:themeColor="text1"/>
              </w:rPr>
              <w:t>p</w:t>
            </w:r>
            <w:r w:rsidRPr="00726741">
              <w:rPr>
                <w:rFonts w:ascii="Arial" w:hAnsi="Arial" w:cs="Arial"/>
                <w:color w:val="000000" w:themeColor="text1"/>
              </w:rPr>
              <w:t>ay</w:t>
            </w:r>
            <w:r>
              <w:rPr>
                <w:rFonts w:ascii="Arial" w:hAnsi="Arial" w:cs="Arial"/>
                <w:color w:val="000000" w:themeColor="text1"/>
              </w:rPr>
              <w:t xml:space="preserve"> for female employees</w:t>
            </w:r>
          </w:p>
        </w:tc>
        <w:tc>
          <w:tcPr>
            <w:tcW w:w="2469" w:type="dxa"/>
            <w:vAlign w:val="center"/>
          </w:tcPr>
          <w:p w14:paraId="4C998139" w14:textId="594781C7" w:rsidR="00AD3F33" w:rsidRPr="00E6287A" w:rsidRDefault="00107D5D" w:rsidP="008B5A77">
            <w:pPr>
              <w:jc w:val="center"/>
              <w:rPr>
                <w:rFonts w:ascii="Arial" w:hAnsi="Arial" w:cs="Arial"/>
                <w:b/>
              </w:rPr>
            </w:pPr>
            <w:r>
              <w:rPr>
                <w:rFonts w:ascii="Arial" w:hAnsi="Arial" w:cs="Arial"/>
                <w:b/>
              </w:rPr>
              <w:t>22%</w:t>
            </w:r>
          </w:p>
        </w:tc>
        <w:tc>
          <w:tcPr>
            <w:tcW w:w="2615" w:type="dxa"/>
            <w:vAlign w:val="center"/>
          </w:tcPr>
          <w:p w14:paraId="37FF5062" w14:textId="1615E0D6" w:rsidR="00AD3F33" w:rsidRPr="00E6287A" w:rsidRDefault="00107D5D" w:rsidP="008B5A77">
            <w:pPr>
              <w:jc w:val="center"/>
              <w:rPr>
                <w:rFonts w:ascii="Arial" w:hAnsi="Arial" w:cs="Arial"/>
                <w:b/>
              </w:rPr>
            </w:pPr>
            <w:r>
              <w:rPr>
                <w:rFonts w:ascii="Arial" w:hAnsi="Arial" w:cs="Arial"/>
                <w:b/>
              </w:rPr>
              <w:t>15.12</w:t>
            </w:r>
            <w:r w:rsidR="00FC719D">
              <w:rPr>
                <w:rFonts w:ascii="Arial" w:hAnsi="Arial" w:cs="Arial"/>
                <w:b/>
              </w:rPr>
              <w:t>%</w:t>
            </w:r>
          </w:p>
        </w:tc>
        <w:tc>
          <w:tcPr>
            <w:tcW w:w="3176" w:type="dxa"/>
            <w:vAlign w:val="center"/>
          </w:tcPr>
          <w:p w14:paraId="58BB8FEC" w14:textId="10C26291" w:rsidR="00AD3F33" w:rsidRPr="00E6287A" w:rsidRDefault="00E6287A" w:rsidP="008B5A77">
            <w:pPr>
              <w:jc w:val="center"/>
              <w:rPr>
                <w:rFonts w:ascii="Arial" w:hAnsi="Arial" w:cs="Arial"/>
                <w:b/>
              </w:rPr>
            </w:pPr>
            <w:r w:rsidRPr="00E6287A">
              <w:rPr>
                <w:rFonts w:ascii="Arial" w:hAnsi="Arial" w:cs="Arial"/>
                <w:b/>
              </w:rPr>
              <w:t>0</w:t>
            </w:r>
          </w:p>
        </w:tc>
        <w:tc>
          <w:tcPr>
            <w:tcW w:w="3259" w:type="dxa"/>
            <w:vAlign w:val="center"/>
          </w:tcPr>
          <w:p w14:paraId="2E8D4626" w14:textId="0C4C200F" w:rsidR="00AD3F33" w:rsidRPr="00E6287A" w:rsidRDefault="00E6287A" w:rsidP="008B5A77">
            <w:pPr>
              <w:jc w:val="center"/>
              <w:rPr>
                <w:rFonts w:ascii="Arial" w:hAnsi="Arial" w:cs="Arial"/>
                <w:b/>
              </w:rPr>
            </w:pPr>
            <w:r w:rsidRPr="00E6287A">
              <w:rPr>
                <w:rFonts w:ascii="Arial" w:hAnsi="Arial" w:cs="Arial"/>
                <w:b/>
              </w:rPr>
              <w:t>0</w:t>
            </w:r>
          </w:p>
        </w:tc>
      </w:tr>
    </w:tbl>
    <w:p w14:paraId="237FAC27" w14:textId="77777777" w:rsidR="00AD3F33" w:rsidRDefault="00AD3F33" w:rsidP="00962004">
      <w:pPr>
        <w:jc w:val="both"/>
        <w:rPr>
          <w:rFonts w:ascii="Arial" w:hAnsi="Arial" w:cs="Arial"/>
          <w:b/>
        </w:rPr>
      </w:pPr>
    </w:p>
    <w:p w14:paraId="53D43BF2" w14:textId="77777777" w:rsidR="00B650CA" w:rsidRDefault="00B650CA" w:rsidP="00962004">
      <w:pPr>
        <w:jc w:val="both"/>
        <w:rPr>
          <w:rFonts w:ascii="Arial" w:hAnsi="Arial" w:cs="Arial"/>
          <w:b/>
        </w:rPr>
      </w:pPr>
    </w:p>
    <w:p w14:paraId="100C85F0" w14:textId="77777777" w:rsidR="00B650CA" w:rsidRDefault="00B650CA" w:rsidP="00962004">
      <w:pPr>
        <w:jc w:val="both"/>
        <w:rPr>
          <w:rFonts w:ascii="Arial" w:hAnsi="Arial" w:cs="Arial"/>
          <w:b/>
        </w:rPr>
      </w:pPr>
    </w:p>
    <w:p w14:paraId="4B7B058E" w14:textId="77777777" w:rsidR="00B650CA" w:rsidRDefault="00B650CA" w:rsidP="00962004">
      <w:pPr>
        <w:jc w:val="both"/>
        <w:rPr>
          <w:rFonts w:ascii="Arial" w:hAnsi="Arial" w:cs="Arial"/>
          <w:b/>
        </w:rPr>
      </w:pPr>
    </w:p>
    <w:p w14:paraId="4990E95C" w14:textId="77777777" w:rsidR="00B650CA" w:rsidRDefault="00B650CA" w:rsidP="00962004">
      <w:pPr>
        <w:jc w:val="both"/>
        <w:rPr>
          <w:rFonts w:ascii="Arial" w:hAnsi="Arial" w:cs="Arial"/>
          <w:b/>
        </w:rPr>
      </w:pPr>
    </w:p>
    <w:p w14:paraId="69920F5A" w14:textId="1780F7FB" w:rsidR="00F567F5" w:rsidRDefault="0057141F" w:rsidP="00962004">
      <w:pPr>
        <w:jc w:val="both"/>
        <w:rPr>
          <w:rFonts w:ascii="Arial" w:hAnsi="Arial" w:cs="Arial"/>
          <w:b/>
        </w:rPr>
      </w:pPr>
      <w:r>
        <w:rPr>
          <w:rFonts w:ascii="Arial" w:hAnsi="Arial" w:cs="Arial"/>
          <w:b/>
        </w:rPr>
        <w:t>Proportion of employees receiving bonuses</w:t>
      </w:r>
    </w:p>
    <w:p w14:paraId="26EB299D" w14:textId="3EC0FA56" w:rsidR="0007260F" w:rsidRPr="0007260F" w:rsidRDefault="0007260F" w:rsidP="00962004">
      <w:pPr>
        <w:jc w:val="both"/>
        <w:rPr>
          <w:rFonts w:ascii="Arial" w:hAnsi="Arial" w:cs="Arial"/>
          <w:color w:val="000000" w:themeColor="text1"/>
        </w:rPr>
      </w:pPr>
      <w:r w:rsidRPr="0007260F">
        <w:rPr>
          <w:rFonts w:ascii="Arial" w:hAnsi="Arial" w:cs="Arial"/>
          <w:color w:val="000000" w:themeColor="text1"/>
        </w:rPr>
        <w:t>The table below shows the total number of male and female employees receiving bonuses, alongside the percentage as a total of either female or male employees.</w:t>
      </w:r>
    </w:p>
    <w:tbl>
      <w:tblPr>
        <w:tblStyle w:val="TableGrid"/>
        <w:tblW w:w="14029" w:type="dxa"/>
        <w:jc w:val="center"/>
        <w:tblLook w:val="04A0" w:firstRow="1" w:lastRow="0" w:firstColumn="1" w:lastColumn="0" w:noHBand="0" w:noVBand="1"/>
      </w:tblPr>
      <w:tblGrid>
        <w:gridCol w:w="4285"/>
        <w:gridCol w:w="4782"/>
        <w:gridCol w:w="4962"/>
      </w:tblGrid>
      <w:tr w:rsidR="0057141F" w14:paraId="16ABE83B" w14:textId="6DE10E09" w:rsidTr="00A407AA">
        <w:trPr>
          <w:trHeight w:val="419"/>
          <w:jc w:val="center"/>
        </w:trPr>
        <w:tc>
          <w:tcPr>
            <w:tcW w:w="4285" w:type="dxa"/>
            <w:shd w:val="clear" w:color="auto" w:fill="004251"/>
            <w:vAlign w:val="center"/>
          </w:tcPr>
          <w:p w14:paraId="758858B8" w14:textId="77777777" w:rsidR="0057141F" w:rsidRPr="00F567F5" w:rsidRDefault="0057141F" w:rsidP="008B5A77">
            <w:pPr>
              <w:jc w:val="center"/>
              <w:rPr>
                <w:rFonts w:ascii="Arial" w:hAnsi="Arial" w:cs="Arial"/>
              </w:rPr>
            </w:pPr>
            <w:r w:rsidRPr="00F567F5">
              <w:rPr>
                <w:rFonts w:ascii="Arial" w:hAnsi="Arial" w:cs="Arial"/>
              </w:rPr>
              <w:t>Gender</w:t>
            </w:r>
          </w:p>
        </w:tc>
        <w:tc>
          <w:tcPr>
            <w:tcW w:w="4782" w:type="dxa"/>
            <w:shd w:val="clear" w:color="auto" w:fill="004251"/>
            <w:vAlign w:val="center"/>
          </w:tcPr>
          <w:p w14:paraId="0AC0849B" w14:textId="3869476A" w:rsidR="0057141F" w:rsidRPr="00F567F5" w:rsidRDefault="0057141F" w:rsidP="008B5A77">
            <w:pPr>
              <w:jc w:val="center"/>
              <w:rPr>
                <w:rFonts w:ascii="Arial" w:hAnsi="Arial" w:cs="Arial"/>
              </w:rPr>
            </w:pPr>
            <w:r w:rsidRPr="00F567F5">
              <w:rPr>
                <w:rFonts w:ascii="Arial" w:hAnsi="Arial" w:cs="Arial"/>
              </w:rPr>
              <w:t xml:space="preserve">Total number of </w:t>
            </w:r>
            <w:r>
              <w:rPr>
                <w:rFonts w:ascii="Arial" w:hAnsi="Arial" w:cs="Arial"/>
              </w:rPr>
              <w:t>employees receiving bonuses</w:t>
            </w:r>
          </w:p>
        </w:tc>
        <w:tc>
          <w:tcPr>
            <w:tcW w:w="4962" w:type="dxa"/>
            <w:shd w:val="clear" w:color="auto" w:fill="004251"/>
            <w:vAlign w:val="center"/>
          </w:tcPr>
          <w:p w14:paraId="6DE47098" w14:textId="423E3672" w:rsidR="0057141F" w:rsidRPr="00F567F5" w:rsidRDefault="0057141F" w:rsidP="00A407AA">
            <w:pPr>
              <w:jc w:val="center"/>
              <w:rPr>
                <w:rFonts w:ascii="Arial" w:hAnsi="Arial" w:cs="Arial"/>
              </w:rPr>
            </w:pPr>
            <w:r>
              <w:rPr>
                <w:rFonts w:ascii="Arial" w:hAnsi="Arial" w:cs="Arial"/>
              </w:rPr>
              <w:t>Proportion of employees receiving bonuses</w:t>
            </w:r>
          </w:p>
        </w:tc>
      </w:tr>
      <w:tr w:rsidR="0057141F" w14:paraId="303B9DF7" w14:textId="6FC064D6" w:rsidTr="00064C63">
        <w:trPr>
          <w:trHeight w:val="410"/>
          <w:jc w:val="center"/>
        </w:trPr>
        <w:tc>
          <w:tcPr>
            <w:tcW w:w="4285" w:type="dxa"/>
            <w:vAlign w:val="center"/>
          </w:tcPr>
          <w:p w14:paraId="5BF8E291" w14:textId="77777777" w:rsidR="0057141F" w:rsidRDefault="0057141F" w:rsidP="008B5A77">
            <w:pPr>
              <w:jc w:val="center"/>
              <w:rPr>
                <w:rFonts w:ascii="Arial" w:hAnsi="Arial" w:cs="Arial"/>
              </w:rPr>
            </w:pPr>
            <w:r>
              <w:rPr>
                <w:rFonts w:ascii="Arial" w:hAnsi="Arial" w:cs="Arial"/>
              </w:rPr>
              <w:t>Male</w:t>
            </w:r>
          </w:p>
        </w:tc>
        <w:tc>
          <w:tcPr>
            <w:tcW w:w="4782" w:type="dxa"/>
            <w:vAlign w:val="center"/>
          </w:tcPr>
          <w:p w14:paraId="7618CB49" w14:textId="27C97B3C" w:rsidR="0057141F" w:rsidRPr="00E6287A" w:rsidRDefault="00E97089" w:rsidP="008B5A77">
            <w:pPr>
              <w:jc w:val="center"/>
              <w:rPr>
                <w:rFonts w:ascii="Arial" w:hAnsi="Arial" w:cs="Arial"/>
                <w:b/>
              </w:rPr>
            </w:pPr>
            <w:r w:rsidRPr="00E6287A">
              <w:rPr>
                <w:rFonts w:ascii="Arial" w:hAnsi="Arial" w:cs="Arial"/>
                <w:b/>
              </w:rPr>
              <w:t>0</w:t>
            </w:r>
          </w:p>
        </w:tc>
        <w:tc>
          <w:tcPr>
            <w:tcW w:w="4962" w:type="dxa"/>
            <w:vAlign w:val="center"/>
          </w:tcPr>
          <w:p w14:paraId="42E95C0E" w14:textId="6EB792A6" w:rsidR="0057141F" w:rsidRPr="00E6287A" w:rsidRDefault="00E97089" w:rsidP="001C3A3A">
            <w:pPr>
              <w:jc w:val="center"/>
              <w:rPr>
                <w:rFonts w:ascii="Arial" w:hAnsi="Arial" w:cs="Arial"/>
                <w:b/>
              </w:rPr>
            </w:pPr>
            <w:r w:rsidRPr="00E6287A">
              <w:rPr>
                <w:rFonts w:ascii="Arial" w:hAnsi="Arial" w:cs="Arial"/>
                <w:b/>
              </w:rPr>
              <w:t>0</w:t>
            </w:r>
          </w:p>
        </w:tc>
      </w:tr>
      <w:tr w:rsidR="0057141F" w14:paraId="3901C617" w14:textId="0D7D57BC" w:rsidTr="00064C63">
        <w:trPr>
          <w:trHeight w:val="416"/>
          <w:jc w:val="center"/>
        </w:trPr>
        <w:tc>
          <w:tcPr>
            <w:tcW w:w="4285" w:type="dxa"/>
            <w:vAlign w:val="center"/>
          </w:tcPr>
          <w:p w14:paraId="7A27DCAD" w14:textId="77777777" w:rsidR="0057141F" w:rsidRDefault="0057141F" w:rsidP="008B5A77">
            <w:pPr>
              <w:jc w:val="center"/>
              <w:rPr>
                <w:rFonts w:ascii="Arial" w:hAnsi="Arial" w:cs="Arial"/>
              </w:rPr>
            </w:pPr>
            <w:r>
              <w:rPr>
                <w:rFonts w:ascii="Arial" w:hAnsi="Arial" w:cs="Arial"/>
              </w:rPr>
              <w:t>Female</w:t>
            </w:r>
          </w:p>
        </w:tc>
        <w:tc>
          <w:tcPr>
            <w:tcW w:w="4782" w:type="dxa"/>
            <w:vAlign w:val="center"/>
          </w:tcPr>
          <w:p w14:paraId="6649D1C8" w14:textId="765F7964" w:rsidR="0057141F" w:rsidRPr="00E6287A" w:rsidRDefault="00E97089" w:rsidP="008B5A77">
            <w:pPr>
              <w:jc w:val="center"/>
              <w:rPr>
                <w:rFonts w:ascii="Arial" w:hAnsi="Arial" w:cs="Arial"/>
                <w:b/>
              </w:rPr>
            </w:pPr>
            <w:r w:rsidRPr="00E6287A">
              <w:rPr>
                <w:rFonts w:ascii="Arial" w:hAnsi="Arial" w:cs="Arial"/>
                <w:b/>
              </w:rPr>
              <w:t>0</w:t>
            </w:r>
          </w:p>
        </w:tc>
        <w:tc>
          <w:tcPr>
            <w:tcW w:w="4962" w:type="dxa"/>
            <w:vAlign w:val="center"/>
          </w:tcPr>
          <w:p w14:paraId="1C9B8830" w14:textId="4C9207AC" w:rsidR="0057141F" w:rsidRPr="00E6287A" w:rsidRDefault="00E97089" w:rsidP="001C3A3A">
            <w:pPr>
              <w:jc w:val="center"/>
              <w:rPr>
                <w:rFonts w:ascii="Arial" w:hAnsi="Arial" w:cs="Arial"/>
                <w:b/>
              </w:rPr>
            </w:pPr>
            <w:r w:rsidRPr="00E6287A">
              <w:rPr>
                <w:rFonts w:ascii="Arial" w:hAnsi="Arial" w:cs="Arial"/>
                <w:b/>
              </w:rPr>
              <w:t>0</w:t>
            </w:r>
          </w:p>
        </w:tc>
      </w:tr>
    </w:tbl>
    <w:p w14:paraId="38578791" w14:textId="77777777" w:rsidR="002651DF" w:rsidRDefault="002651DF" w:rsidP="00962004">
      <w:pPr>
        <w:jc w:val="both"/>
        <w:rPr>
          <w:rFonts w:ascii="Arial" w:hAnsi="Arial" w:cs="Arial"/>
          <w:b/>
        </w:rPr>
      </w:pPr>
    </w:p>
    <w:p w14:paraId="0A9AACFD" w14:textId="77777777" w:rsidR="001D0C96" w:rsidRDefault="001D0C96" w:rsidP="00962004">
      <w:pPr>
        <w:jc w:val="both"/>
        <w:rPr>
          <w:rFonts w:ascii="Arial" w:hAnsi="Arial" w:cs="Arial"/>
          <w:b/>
        </w:rPr>
      </w:pPr>
    </w:p>
    <w:p w14:paraId="5798C3E1" w14:textId="77777777" w:rsidR="001D0C96" w:rsidRDefault="001D0C96" w:rsidP="00962004">
      <w:pPr>
        <w:jc w:val="both"/>
        <w:rPr>
          <w:rFonts w:ascii="Arial" w:hAnsi="Arial" w:cs="Arial"/>
          <w:b/>
        </w:rPr>
      </w:pPr>
    </w:p>
    <w:p w14:paraId="708746EB" w14:textId="77777777" w:rsidR="001D0C96" w:rsidRDefault="001D0C96" w:rsidP="00962004">
      <w:pPr>
        <w:jc w:val="both"/>
        <w:rPr>
          <w:rFonts w:ascii="Arial" w:hAnsi="Arial" w:cs="Arial"/>
          <w:b/>
        </w:rPr>
      </w:pPr>
    </w:p>
    <w:p w14:paraId="142B2761" w14:textId="77777777" w:rsidR="001D0C96" w:rsidRDefault="001D0C96" w:rsidP="00962004">
      <w:pPr>
        <w:jc w:val="both"/>
        <w:rPr>
          <w:rFonts w:ascii="Arial" w:hAnsi="Arial" w:cs="Arial"/>
          <w:b/>
        </w:rPr>
      </w:pPr>
    </w:p>
    <w:p w14:paraId="4C33EB89" w14:textId="77777777" w:rsidR="001D0C96" w:rsidRDefault="001D0C96" w:rsidP="00962004">
      <w:pPr>
        <w:jc w:val="both"/>
        <w:rPr>
          <w:rFonts w:ascii="Arial" w:hAnsi="Arial" w:cs="Arial"/>
          <w:b/>
        </w:rPr>
      </w:pPr>
    </w:p>
    <w:p w14:paraId="6B28F89B" w14:textId="77777777" w:rsidR="001D0C96" w:rsidRDefault="001D0C96" w:rsidP="00962004">
      <w:pPr>
        <w:jc w:val="both"/>
        <w:rPr>
          <w:rFonts w:ascii="Arial" w:hAnsi="Arial" w:cs="Arial"/>
          <w:b/>
        </w:rPr>
      </w:pPr>
    </w:p>
    <w:p w14:paraId="3FEF16F2" w14:textId="77777777" w:rsidR="001D0C96" w:rsidRDefault="001D0C96" w:rsidP="00962004">
      <w:pPr>
        <w:jc w:val="both"/>
        <w:rPr>
          <w:rFonts w:ascii="Arial" w:hAnsi="Arial" w:cs="Arial"/>
          <w:b/>
        </w:rPr>
      </w:pPr>
    </w:p>
    <w:p w14:paraId="630C91E6" w14:textId="77777777" w:rsidR="001D0C96" w:rsidRDefault="001D0C96" w:rsidP="00962004">
      <w:pPr>
        <w:jc w:val="both"/>
        <w:rPr>
          <w:rFonts w:ascii="Arial" w:hAnsi="Arial" w:cs="Arial"/>
          <w:b/>
        </w:rPr>
      </w:pPr>
    </w:p>
    <w:p w14:paraId="2824A857" w14:textId="77777777" w:rsidR="001A00B3" w:rsidRDefault="001A00B3" w:rsidP="00962004">
      <w:pPr>
        <w:jc w:val="both"/>
        <w:rPr>
          <w:rFonts w:ascii="Arial" w:hAnsi="Arial" w:cs="Arial"/>
          <w:b/>
        </w:rPr>
      </w:pPr>
    </w:p>
    <w:p w14:paraId="342C3E7C" w14:textId="77777777" w:rsidR="001A00B3" w:rsidRDefault="001A00B3" w:rsidP="00962004">
      <w:pPr>
        <w:jc w:val="both"/>
        <w:rPr>
          <w:rFonts w:ascii="Arial" w:hAnsi="Arial" w:cs="Arial"/>
          <w:b/>
        </w:rPr>
      </w:pPr>
    </w:p>
    <w:p w14:paraId="019603F8" w14:textId="77777777" w:rsidR="001A00B3" w:rsidRDefault="001A00B3" w:rsidP="00962004">
      <w:pPr>
        <w:jc w:val="both"/>
        <w:rPr>
          <w:rFonts w:ascii="Arial" w:hAnsi="Arial" w:cs="Arial"/>
          <w:b/>
        </w:rPr>
      </w:pPr>
    </w:p>
    <w:p w14:paraId="1FED8CA0" w14:textId="77777777" w:rsidR="001A00B3" w:rsidRDefault="001A00B3" w:rsidP="00962004">
      <w:pPr>
        <w:jc w:val="both"/>
        <w:rPr>
          <w:rFonts w:ascii="Arial" w:hAnsi="Arial" w:cs="Arial"/>
          <w:b/>
        </w:rPr>
      </w:pPr>
    </w:p>
    <w:p w14:paraId="4F86738B" w14:textId="7322FA69" w:rsidR="00962004" w:rsidRDefault="00F567F5" w:rsidP="00962004">
      <w:pPr>
        <w:jc w:val="both"/>
        <w:rPr>
          <w:rFonts w:ascii="Arial" w:hAnsi="Arial" w:cs="Arial"/>
          <w:b/>
        </w:rPr>
      </w:pPr>
      <w:bookmarkStart w:id="0" w:name="_GoBack"/>
      <w:bookmarkEnd w:id="0"/>
      <w:r>
        <w:rPr>
          <w:rFonts w:ascii="Arial" w:hAnsi="Arial" w:cs="Arial"/>
          <w:b/>
        </w:rPr>
        <w:lastRenderedPageBreak/>
        <w:t>Quartile information</w:t>
      </w:r>
    </w:p>
    <w:p w14:paraId="55BF99B5" w14:textId="77777777" w:rsidR="00CD78EB" w:rsidRDefault="00CD78EB" w:rsidP="00962004">
      <w:pPr>
        <w:jc w:val="both"/>
        <w:rPr>
          <w:rFonts w:ascii="Arial" w:hAnsi="Arial" w:cs="Arial"/>
          <w:color w:val="000000" w:themeColor="text1"/>
        </w:rPr>
      </w:pPr>
    </w:p>
    <w:p w14:paraId="065D8F08" w14:textId="36A102A0" w:rsidR="0007260F" w:rsidRPr="0007260F" w:rsidRDefault="0007260F" w:rsidP="00962004">
      <w:pPr>
        <w:jc w:val="both"/>
        <w:rPr>
          <w:rFonts w:ascii="Arial" w:hAnsi="Arial" w:cs="Arial"/>
          <w:color w:val="000000" w:themeColor="text1"/>
        </w:rPr>
      </w:pPr>
      <w:r w:rsidRPr="0007260F">
        <w:rPr>
          <w:rFonts w:ascii="Arial" w:hAnsi="Arial" w:cs="Arial"/>
          <w:color w:val="000000" w:themeColor="text1"/>
        </w:rPr>
        <w:t xml:space="preserve">The table below shows the percentage of male </w:t>
      </w:r>
      <w:r w:rsidR="00C077CF">
        <w:rPr>
          <w:rFonts w:ascii="Arial" w:hAnsi="Arial" w:cs="Arial"/>
          <w:color w:val="000000" w:themeColor="text1"/>
        </w:rPr>
        <w:t>and</w:t>
      </w:r>
      <w:r w:rsidRPr="0007260F">
        <w:rPr>
          <w:rFonts w:ascii="Arial" w:hAnsi="Arial" w:cs="Arial"/>
          <w:color w:val="000000" w:themeColor="text1"/>
        </w:rPr>
        <w:t xml:space="preserve"> female employees</w:t>
      </w:r>
      <w:r w:rsidR="00C077CF">
        <w:rPr>
          <w:rFonts w:ascii="Arial" w:hAnsi="Arial" w:cs="Arial"/>
          <w:color w:val="000000" w:themeColor="text1"/>
        </w:rPr>
        <w:t xml:space="preserve"> comprising each quartile</w:t>
      </w:r>
      <w:r w:rsidRPr="0007260F">
        <w:rPr>
          <w:rFonts w:ascii="Arial" w:hAnsi="Arial" w:cs="Arial"/>
          <w:color w:val="000000" w:themeColor="text1"/>
        </w:rPr>
        <w:t>.</w:t>
      </w:r>
    </w:p>
    <w:tbl>
      <w:tblPr>
        <w:tblStyle w:val="TableGrid"/>
        <w:tblpPr w:leftFromText="180" w:rightFromText="180" w:vertAnchor="page" w:horzAnchor="margin" w:tblpY="2386"/>
        <w:tblW w:w="6946" w:type="dxa"/>
        <w:tblLook w:val="04A0" w:firstRow="1" w:lastRow="0" w:firstColumn="1" w:lastColumn="0" w:noHBand="0" w:noVBand="1"/>
      </w:tblPr>
      <w:tblGrid>
        <w:gridCol w:w="1419"/>
        <w:gridCol w:w="992"/>
        <w:gridCol w:w="283"/>
        <w:gridCol w:w="4252"/>
      </w:tblGrid>
      <w:tr w:rsidR="00F567F5" w14:paraId="21C4E936" w14:textId="77777777" w:rsidTr="00217D9A">
        <w:trPr>
          <w:trHeight w:val="561"/>
        </w:trPr>
        <w:tc>
          <w:tcPr>
            <w:tcW w:w="1419" w:type="dxa"/>
            <w:tcBorders>
              <w:top w:val="nil"/>
              <w:left w:val="nil"/>
              <w:right w:val="nil"/>
            </w:tcBorders>
          </w:tcPr>
          <w:p w14:paraId="295D1D69" w14:textId="77777777" w:rsidR="00F567F5" w:rsidRPr="00B714F6" w:rsidRDefault="00F567F5" w:rsidP="00CD78EB">
            <w:pPr>
              <w:rPr>
                <w:rFonts w:ascii="Arial" w:hAnsi="Arial" w:cs="Arial"/>
              </w:rPr>
            </w:pPr>
          </w:p>
        </w:tc>
        <w:tc>
          <w:tcPr>
            <w:tcW w:w="992" w:type="dxa"/>
            <w:tcBorders>
              <w:top w:val="nil"/>
              <w:left w:val="nil"/>
            </w:tcBorders>
          </w:tcPr>
          <w:p w14:paraId="4E2D2C71" w14:textId="4FAFE125" w:rsidR="00F567F5" w:rsidRPr="00B714F6" w:rsidRDefault="00F567F5" w:rsidP="00CD78EB">
            <w:pPr>
              <w:spacing w:line="276" w:lineRule="auto"/>
              <w:rPr>
                <w:rFonts w:ascii="Arial" w:hAnsi="Arial" w:cs="Arial"/>
              </w:rPr>
            </w:pPr>
          </w:p>
        </w:tc>
        <w:tc>
          <w:tcPr>
            <w:tcW w:w="283" w:type="dxa"/>
            <w:shd w:val="clear" w:color="auto" w:fill="004251"/>
            <w:vAlign w:val="center"/>
          </w:tcPr>
          <w:p w14:paraId="2456B1BB" w14:textId="4397FA7F" w:rsidR="00F567F5" w:rsidRPr="00B714F6" w:rsidRDefault="00F567F5" w:rsidP="00CD78EB">
            <w:pPr>
              <w:jc w:val="center"/>
              <w:rPr>
                <w:rFonts w:ascii="Arial" w:hAnsi="Arial" w:cs="Arial"/>
              </w:rPr>
            </w:pPr>
          </w:p>
        </w:tc>
        <w:tc>
          <w:tcPr>
            <w:tcW w:w="4252" w:type="dxa"/>
            <w:shd w:val="clear" w:color="auto" w:fill="004251"/>
            <w:vAlign w:val="center"/>
          </w:tcPr>
          <w:p w14:paraId="360EC81D" w14:textId="353E3278" w:rsidR="00F567F5" w:rsidRPr="00B714F6" w:rsidRDefault="00F567F5" w:rsidP="00CD78EB">
            <w:pPr>
              <w:spacing w:line="276" w:lineRule="auto"/>
              <w:jc w:val="center"/>
              <w:rPr>
                <w:rFonts w:ascii="Arial" w:hAnsi="Arial" w:cs="Arial"/>
              </w:rPr>
            </w:pPr>
            <w:r w:rsidRPr="00B714F6">
              <w:rPr>
                <w:rFonts w:ascii="Arial" w:hAnsi="Arial" w:cs="Arial"/>
              </w:rPr>
              <w:t>Proportion of employees in each quartile pay band</w:t>
            </w:r>
          </w:p>
        </w:tc>
      </w:tr>
      <w:tr w:rsidR="00B81D45" w14:paraId="393DD45C" w14:textId="77777777" w:rsidTr="00217D9A">
        <w:trPr>
          <w:trHeight w:val="561"/>
        </w:trPr>
        <w:tc>
          <w:tcPr>
            <w:tcW w:w="1419" w:type="dxa"/>
            <w:tcBorders>
              <w:top w:val="nil"/>
              <w:left w:val="nil"/>
              <w:right w:val="nil"/>
            </w:tcBorders>
          </w:tcPr>
          <w:p w14:paraId="7C54D697" w14:textId="77777777" w:rsidR="00B81D45" w:rsidRPr="00B714F6" w:rsidRDefault="00B81D45" w:rsidP="00CD78EB">
            <w:pPr>
              <w:rPr>
                <w:rFonts w:ascii="Arial" w:hAnsi="Arial" w:cs="Arial"/>
              </w:rPr>
            </w:pPr>
          </w:p>
        </w:tc>
        <w:tc>
          <w:tcPr>
            <w:tcW w:w="992" w:type="dxa"/>
            <w:tcBorders>
              <w:top w:val="nil"/>
              <w:left w:val="nil"/>
            </w:tcBorders>
          </w:tcPr>
          <w:p w14:paraId="5DB9693F" w14:textId="77777777" w:rsidR="00B81D45" w:rsidRPr="00B714F6" w:rsidRDefault="00B81D45" w:rsidP="00CD78EB">
            <w:pPr>
              <w:rPr>
                <w:rFonts w:ascii="Arial" w:hAnsi="Arial" w:cs="Arial"/>
              </w:rPr>
            </w:pPr>
          </w:p>
        </w:tc>
        <w:tc>
          <w:tcPr>
            <w:tcW w:w="283" w:type="dxa"/>
            <w:shd w:val="clear" w:color="auto" w:fill="004251"/>
            <w:vAlign w:val="center"/>
          </w:tcPr>
          <w:p w14:paraId="2D07829C" w14:textId="77777777" w:rsidR="00B81D45" w:rsidRDefault="00B81D45" w:rsidP="00CD78EB">
            <w:pPr>
              <w:jc w:val="center"/>
              <w:rPr>
                <w:rFonts w:ascii="Arial" w:hAnsi="Arial" w:cs="Arial"/>
              </w:rPr>
            </w:pPr>
          </w:p>
        </w:tc>
        <w:tc>
          <w:tcPr>
            <w:tcW w:w="4252" w:type="dxa"/>
            <w:shd w:val="clear" w:color="auto" w:fill="004251"/>
            <w:vAlign w:val="center"/>
          </w:tcPr>
          <w:p w14:paraId="142A63A8" w14:textId="77777777" w:rsidR="00B81D45" w:rsidRPr="00B714F6" w:rsidRDefault="00B81D45" w:rsidP="00CD78EB">
            <w:pPr>
              <w:jc w:val="center"/>
              <w:rPr>
                <w:rFonts w:ascii="Arial" w:hAnsi="Arial" w:cs="Arial"/>
              </w:rPr>
            </w:pPr>
          </w:p>
        </w:tc>
      </w:tr>
      <w:tr w:rsidR="00F567F5" w14:paraId="0638EDB8" w14:textId="77777777" w:rsidTr="00217D9A">
        <w:trPr>
          <w:trHeight w:val="539"/>
        </w:trPr>
        <w:tc>
          <w:tcPr>
            <w:tcW w:w="1419" w:type="dxa"/>
            <w:vMerge w:val="restart"/>
            <w:shd w:val="clear" w:color="auto" w:fill="004251"/>
            <w:vAlign w:val="center"/>
          </w:tcPr>
          <w:p w14:paraId="0E1ABC84" w14:textId="4A44F348" w:rsidR="00F567F5" w:rsidRPr="00B714F6" w:rsidRDefault="00F567F5" w:rsidP="00CD78EB">
            <w:pPr>
              <w:jc w:val="center"/>
              <w:rPr>
                <w:rFonts w:ascii="Arial" w:hAnsi="Arial" w:cs="Arial"/>
              </w:rPr>
            </w:pPr>
            <w:r>
              <w:rPr>
                <w:rFonts w:ascii="Arial" w:hAnsi="Arial" w:cs="Arial"/>
              </w:rPr>
              <w:t>Upper quartile</w:t>
            </w:r>
          </w:p>
        </w:tc>
        <w:tc>
          <w:tcPr>
            <w:tcW w:w="992" w:type="dxa"/>
            <w:shd w:val="clear" w:color="auto" w:fill="FFC000"/>
            <w:vAlign w:val="center"/>
          </w:tcPr>
          <w:p w14:paraId="1A3388E6" w14:textId="2A678ACB" w:rsidR="00F567F5" w:rsidRPr="00B714F6" w:rsidRDefault="00F567F5" w:rsidP="00CD78EB">
            <w:pPr>
              <w:spacing w:line="276" w:lineRule="auto"/>
              <w:jc w:val="center"/>
              <w:rPr>
                <w:rFonts w:ascii="Arial" w:hAnsi="Arial" w:cs="Arial"/>
              </w:rPr>
            </w:pPr>
            <w:r>
              <w:rPr>
                <w:rFonts w:ascii="Arial" w:hAnsi="Arial" w:cs="Arial"/>
              </w:rPr>
              <w:t>Male</w:t>
            </w:r>
          </w:p>
        </w:tc>
        <w:tc>
          <w:tcPr>
            <w:tcW w:w="283" w:type="dxa"/>
            <w:vAlign w:val="center"/>
          </w:tcPr>
          <w:p w14:paraId="1CD0D3AC" w14:textId="276CA3D7" w:rsidR="00F567F5" w:rsidRPr="00E6287A" w:rsidRDefault="00F567F5" w:rsidP="00CD78EB">
            <w:pPr>
              <w:jc w:val="center"/>
              <w:rPr>
                <w:rFonts w:ascii="Arial" w:hAnsi="Arial" w:cs="Arial"/>
                <w:b/>
              </w:rPr>
            </w:pPr>
          </w:p>
        </w:tc>
        <w:tc>
          <w:tcPr>
            <w:tcW w:w="4252" w:type="dxa"/>
            <w:vAlign w:val="center"/>
          </w:tcPr>
          <w:p w14:paraId="46178F95" w14:textId="7B7E51DD" w:rsidR="00F567F5" w:rsidRPr="00E6287A" w:rsidRDefault="00107D5D" w:rsidP="00CD78EB">
            <w:pPr>
              <w:spacing w:line="276" w:lineRule="auto"/>
              <w:jc w:val="center"/>
              <w:rPr>
                <w:rFonts w:ascii="Arial" w:hAnsi="Arial" w:cs="Arial"/>
                <w:b/>
              </w:rPr>
            </w:pPr>
            <w:r>
              <w:rPr>
                <w:rFonts w:ascii="Arial" w:hAnsi="Arial" w:cs="Arial"/>
                <w:b/>
              </w:rPr>
              <w:t>35.84</w:t>
            </w:r>
            <w:r w:rsidR="00217D9A">
              <w:rPr>
                <w:rFonts w:ascii="Arial" w:hAnsi="Arial" w:cs="Arial"/>
                <w:b/>
              </w:rPr>
              <w:t>%</w:t>
            </w:r>
          </w:p>
        </w:tc>
      </w:tr>
      <w:tr w:rsidR="00F567F5" w14:paraId="1DB4F277" w14:textId="77777777" w:rsidTr="00217D9A">
        <w:trPr>
          <w:trHeight w:val="539"/>
        </w:trPr>
        <w:tc>
          <w:tcPr>
            <w:tcW w:w="1419" w:type="dxa"/>
            <w:vMerge/>
            <w:shd w:val="clear" w:color="auto" w:fill="004251"/>
            <w:vAlign w:val="center"/>
          </w:tcPr>
          <w:p w14:paraId="5C51947E" w14:textId="77777777" w:rsidR="00F567F5" w:rsidRPr="00B714F6" w:rsidRDefault="00F567F5" w:rsidP="00CD78EB">
            <w:pPr>
              <w:jc w:val="center"/>
              <w:rPr>
                <w:rFonts w:ascii="Arial" w:hAnsi="Arial" w:cs="Arial"/>
              </w:rPr>
            </w:pPr>
          </w:p>
        </w:tc>
        <w:tc>
          <w:tcPr>
            <w:tcW w:w="992" w:type="dxa"/>
            <w:shd w:val="clear" w:color="auto" w:fill="FFC000"/>
            <w:vAlign w:val="center"/>
          </w:tcPr>
          <w:p w14:paraId="51045CEC" w14:textId="4321268F" w:rsidR="00F567F5" w:rsidRPr="00B714F6" w:rsidRDefault="00F567F5" w:rsidP="00CD78EB">
            <w:pPr>
              <w:spacing w:line="276" w:lineRule="auto"/>
              <w:jc w:val="center"/>
              <w:rPr>
                <w:rFonts w:ascii="Arial" w:hAnsi="Arial" w:cs="Arial"/>
              </w:rPr>
            </w:pPr>
            <w:r>
              <w:rPr>
                <w:rFonts w:ascii="Arial" w:hAnsi="Arial" w:cs="Arial"/>
              </w:rPr>
              <w:t>Female</w:t>
            </w:r>
          </w:p>
        </w:tc>
        <w:tc>
          <w:tcPr>
            <w:tcW w:w="283" w:type="dxa"/>
            <w:vAlign w:val="center"/>
          </w:tcPr>
          <w:p w14:paraId="6823206C" w14:textId="0DD63804" w:rsidR="00F567F5" w:rsidRPr="00E6287A" w:rsidRDefault="00F567F5" w:rsidP="00CD78EB">
            <w:pPr>
              <w:jc w:val="center"/>
              <w:rPr>
                <w:rFonts w:ascii="Arial" w:hAnsi="Arial" w:cs="Arial"/>
                <w:b/>
              </w:rPr>
            </w:pPr>
          </w:p>
        </w:tc>
        <w:tc>
          <w:tcPr>
            <w:tcW w:w="4252" w:type="dxa"/>
            <w:vAlign w:val="center"/>
          </w:tcPr>
          <w:p w14:paraId="2F6DA29A" w14:textId="4E2E9145" w:rsidR="00F567F5" w:rsidRPr="00E6287A" w:rsidRDefault="00107D5D" w:rsidP="00CD78EB">
            <w:pPr>
              <w:spacing w:line="276" w:lineRule="auto"/>
              <w:jc w:val="center"/>
              <w:rPr>
                <w:rFonts w:ascii="Arial" w:hAnsi="Arial" w:cs="Arial"/>
                <w:b/>
              </w:rPr>
            </w:pPr>
            <w:r>
              <w:rPr>
                <w:rFonts w:ascii="Arial" w:hAnsi="Arial" w:cs="Arial"/>
                <w:b/>
              </w:rPr>
              <w:t>64.16</w:t>
            </w:r>
            <w:r w:rsidR="00217D9A">
              <w:rPr>
                <w:rFonts w:ascii="Arial" w:hAnsi="Arial" w:cs="Arial"/>
                <w:b/>
              </w:rPr>
              <w:t>%</w:t>
            </w:r>
          </w:p>
        </w:tc>
      </w:tr>
      <w:tr w:rsidR="00F567F5" w14:paraId="06CA84F9" w14:textId="77777777" w:rsidTr="00217D9A">
        <w:trPr>
          <w:trHeight w:val="539"/>
        </w:trPr>
        <w:tc>
          <w:tcPr>
            <w:tcW w:w="1419" w:type="dxa"/>
            <w:vMerge w:val="restart"/>
            <w:shd w:val="clear" w:color="auto" w:fill="004251"/>
            <w:vAlign w:val="center"/>
          </w:tcPr>
          <w:p w14:paraId="50E9173D" w14:textId="4CEA214B" w:rsidR="00F567F5" w:rsidRPr="00B714F6" w:rsidRDefault="00F567F5" w:rsidP="00CD78EB">
            <w:pPr>
              <w:jc w:val="center"/>
              <w:rPr>
                <w:rFonts w:ascii="Arial" w:hAnsi="Arial" w:cs="Arial"/>
              </w:rPr>
            </w:pPr>
            <w:r>
              <w:rPr>
                <w:rFonts w:ascii="Arial" w:hAnsi="Arial" w:cs="Arial"/>
              </w:rPr>
              <w:t>Upper middle quartile</w:t>
            </w:r>
          </w:p>
        </w:tc>
        <w:tc>
          <w:tcPr>
            <w:tcW w:w="992" w:type="dxa"/>
            <w:shd w:val="clear" w:color="auto" w:fill="FFC000"/>
            <w:vAlign w:val="center"/>
          </w:tcPr>
          <w:p w14:paraId="41C66F56" w14:textId="39E28234" w:rsidR="00F567F5" w:rsidRPr="00B714F6" w:rsidRDefault="00F567F5" w:rsidP="00CD78EB">
            <w:pPr>
              <w:spacing w:line="276" w:lineRule="auto"/>
              <w:jc w:val="center"/>
              <w:rPr>
                <w:rFonts w:ascii="Arial" w:hAnsi="Arial" w:cs="Arial"/>
              </w:rPr>
            </w:pPr>
            <w:r>
              <w:rPr>
                <w:rFonts w:ascii="Arial" w:hAnsi="Arial" w:cs="Arial"/>
              </w:rPr>
              <w:t>Male</w:t>
            </w:r>
          </w:p>
        </w:tc>
        <w:tc>
          <w:tcPr>
            <w:tcW w:w="283" w:type="dxa"/>
            <w:vAlign w:val="center"/>
          </w:tcPr>
          <w:p w14:paraId="5B087751" w14:textId="6E2FA650" w:rsidR="00F567F5" w:rsidRPr="00E6287A" w:rsidRDefault="00F567F5" w:rsidP="00CD78EB">
            <w:pPr>
              <w:jc w:val="center"/>
              <w:rPr>
                <w:rFonts w:ascii="Arial" w:hAnsi="Arial" w:cs="Arial"/>
                <w:b/>
              </w:rPr>
            </w:pPr>
          </w:p>
        </w:tc>
        <w:tc>
          <w:tcPr>
            <w:tcW w:w="4252" w:type="dxa"/>
            <w:vAlign w:val="center"/>
          </w:tcPr>
          <w:p w14:paraId="74AA013E" w14:textId="236F5E83" w:rsidR="00F567F5" w:rsidRPr="00E6287A" w:rsidRDefault="00107D5D" w:rsidP="00CD78EB">
            <w:pPr>
              <w:spacing w:line="276" w:lineRule="auto"/>
              <w:jc w:val="center"/>
              <w:rPr>
                <w:rFonts w:ascii="Arial" w:hAnsi="Arial" w:cs="Arial"/>
                <w:b/>
              </w:rPr>
            </w:pPr>
            <w:r>
              <w:rPr>
                <w:rFonts w:ascii="Arial" w:hAnsi="Arial" w:cs="Arial"/>
                <w:b/>
              </w:rPr>
              <w:t>31.57</w:t>
            </w:r>
            <w:r w:rsidR="00217D9A">
              <w:rPr>
                <w:rFonts w:ascii="Arial" w:hAnsi="Arial" w:cs="Arial"/>
                <w:b/>
              </w:rPr>
              <w:t>%</w:t>
            </w:r>
          </w:p>
        </w:tc>
      </w:tr>
      <w:tr w:rsidR="00F567F5" w14:paraId="70D1975C" w14:textId="77777777" w:rsidTr="00217D9A">
        <w:trPr>
          <w:trHeight w:val="539"/>
        </w:trPr>
        <w:tc>
          <w:tcPr>
            <w:tcW w:w="1419" w:type="dxa"/>
            <w:vMerge/>
            <w:shd w:val="clear" w:color="auto" w:fill="004251"/>
            <w:vAlign w:val="center"/>
          </w:tcPr>
          <w:p w14:paraId="79FBBAD8" w14:textId="77777777" w:rsidR="00F567F5" w:rsidRPr="00B714F6" w:rsidRDefault="00F567F5" w:rsidP="00CD78EB">
            <w:pPr>
              <w:jc w:val="center"/>
              <w:rPr>
                <w:rFonts w:ascii="Arial" w:hAnsi="Arial" w:cs="Arial"/>
              </w:rPr>
            </w:pPr>
          </w:p>
        </w:tc>
        <w:tc>
          <w:tcPr>
            <w:tcW w:w="992" w:type="dxa"/>
            <w:shd w:val="clear" w:color="auto" w:fill="FFC000"/>
            <w:vAlign w:val="center"/>
          </w:tcPr>
          <w:p w14:paraId="225C0BB7" w14:textId="3539D8E6" w:rsidR="00F567F5" w:rsidRPr="00B714F6" w:rsidRDefault="00F567F5" w:rsidP="00CD78EB">
            <w:pPr>
              <w:spacing w:line="276" w:lineRule="auto"/>
              <w:jc w:val="center"/>
              <w:rPr>
                <w:rFonts w:ascii="Arial" w:hAnsi="Arial" w:cs="Arial"/>
              </w:rPr>
            </w:pPr>
            <w:r>
              <w:rPr>
                <w:rFonts w:ascii="Arial" w:hAnsi="Arial" w:cs="Arial"/>
              </w:rPr>
              <w:t>Female</w:t>
            </w:r>
          </w:p>
        </w:tc>
        <w:tc>
          <w:tcPr>
            <w:tcW w:w="283" w:type="dxa"/>
            <w:vAlign w:val="center"/>
          </w:tcPr>
          <w:p w14:paraId="2CB7A92D" w14:textId="350C3DBE" w:rsidR="00F567F5" w:rsidRPr="00E6287A" w:rsidRDefault="00F567F5" w:rsidP="00CD78EB">
            <w:pPr>
              <w:jc w:val="center"/>
              <w:rPr>
                <w:rFonts w:ascii="Arial" w:hAnsi="Arial" w:cs="Arial"/>
                <w:b/>
              </w:rPr>
            </w:pPr>
          </w:p>
        </w:tc>
        <w:tc>
          <w:tcPr>
            <w:tcW w:w="4252" w:type="dxa"/>
            <w:vAlign w:val="center"/>
          </w:tcPr>
          <w:p w14:paraId="403A3B5B" w14:textId="6DF3B2B3" w:rsidR="00F567F5" w:rsidRPr="00E6287A" w:rsidRDefault="00107D5D" w:rsidP="00CD78EB">
            <w:pPr>
              <w:spacing w:line="276" w:lineRule="auto"/>
              <w:jc w:val="center"/>
              <w:rPr>
                <w:rFonts w:ascii="Arial" w:hAnsi="Arial" w:cs="Arial"/>
                <w:b/>
              </w:rPr>
            </w:pPr>
            <w:r>
              <w:rPr>
                <w:rFonts w:ascii="Arial" w:hAnsi="Arial" w:cs="Arial"/>
                <w:b/>
              </w:rPr>
              <w:t>68.43</w:t>
            </w:r>
            <w:r w:rsidR="00217D9A">
              <w:rPr>
                <w:rFonts w:ascii="Arial" w:hAnsi="Arial" w:cs="Arial"/>
                <w:b/>
              </w:rPr>
              <w:t>%</w:t>
            </w:r>
          </w:p>
        </w:tc>
      </w:tr>
      <w:tr w:rsidR="00F567F5" w14:paraId="5249C363" w14:textId="77777777" w:rsidTr="00217D9A">
        <w:trPr>
          <w:trHeight w:val="539"/>
        </w:trPr>
        <w:tc>
          <w:tcPr>
            <w:tcW w:w="1419" w:type="dxa"/>
            <w:vMerge w:val="restart"/>
            <w:shd w:val="clear" w:color="auto" w:fill="004251"/>
            <w:vAlign w:val="center"/>
          </w:tcPr>
          <w:p w14:paraId="1A17190C" w14:textId="636820AE" w:rsidR="00F567F5" w:rsidRPr="00B714F6" w:rsidRDefault="00F567F5" w:rsidP="00CD78EB">
            <w:pPr>
              <w:jc w:val="center"/>
              <w:rPr>
                <w:rFonts w:ascii="Arial" w:hAnsi="Arial" w:cs="Arial"/>
              </w:rPr>
            </w:pPr>
            <w:r>
              <w:rPr>
                <w:rFonts w:ascii="Arial" w:hAnsi="Arial" w:cs="Arial"/>
              </w:rPr>
              <w:t>Lower middle quartile</w:t>
            </w:r>
          </w:p>
        </w:tc>
        <w:tc>
          <w:tcPr>
            <w:tcW w:w="992" w:type="dxa"/>
            <w:shd w:val="clear" w:color="auto" w:fill="FFC000"/>
            <w:vAlign w:val="center"/>
          </w:tcPr>
          <w:p w14:paraId="33A898B6" w14:textId="31389771" w:rsidR="00F567F5" w:rsidRPr="00B714F6" w:rsidRDefault="00F567F5" w:rsidP="00CD78EB">
            <w:pPr>
              <w:spacing w:line="276" w:lineRule="auto"/>
              <w:jc w:val="center"/>
              <w:rPr>
                <w:rFonts w:ascii="Arial" w:hAnsi="Arial" w:cs="Arial"/>
              </w:rPr>
            </w:pPr>
            <w:r>
              <w:rPr>
                <w:rFonts w:ascii="Arial" w:hAnsi="Arial" w:cs="Arial"/>
              </w:rPr>
              <w:t>Male</w:t>
            </w:r>
          </w:p>
        </w:tc>
        <w:tc>
          <w:tcPr>
            <w:tcW w:w="283" w:type="dxa"/>
            <w:vAlign w:val="center"/>
          </w:tcPr>
          <w:p w14:paraId="2305FFC5" w14:textId="31A968D5" w:rsidR="00F567F5" w:rsidRPr="00E6287A" w:rsidRDefault="00F567F5" w:rsidP="00CD78EB">
            <w:pPr>
              <w:jc w:val="center"/>
              <w:rPr>
                <w:rFonts w:ascii="Arial" w:hAnsi="Arial" w:cs="Arial"/>
                <w:b/>
              </w:rPr>
            </w:pPr>
          </w:p>
        </w:tc>
        <w:tc>
          <w:tcPr>
            <w:tcW w:w="4252" w:type="dxa"/>
            <w:vAlign w:val="center"/>
          </w:tcPr>
          <w:p w14:paraId="65F7545C" w14:textId="0FD34C2E" w:rsidR="00F567F5" w:rsidRPr="00E6287A" w:rsidRDefault="00107D5D" w:rsidP="00CD78EB">
            <w:pPr>
              <w:spacing w:line="276" w:lineRule="auto"/>
              <w:jc w:val="center"/>
              <w:rPr>
                <w:rFonts w:ascii="Arial" w:hAnsi="Arial" w:cs="Arial"/>
                <w:b/>
              </w:rPr>
            </w:pPr>
            <w:r>
              <w:rPr>
                <w:rFonts w:ascii="Arial" w:hAnsi="Arial" w:cs="Arial"/>
                <w:b/>
              </w:rPr>
              <w:t>33.7</w:t>
            </w:r>
            <w:r w:rsidR="00217D9A">
              <w:rPr>
                <w:rFonts w:ascii="Arial" w:hAnsi="Arial" w:cs="Arial"/>
                <w:b/>
              </w:rPr>
              <w:t>%</w:t>
            </w:r>
          </w:p>
        </w:tc>
      </w:tr>
      <w:tr w:rsidR="00F567F5" w14:paraId="22268B4E" w14:textId="77777777" w:rsidTr="00217D9A">
        <w:trPr>
          <w:trHeight w:val="539"/>
        </w:trPr>
        <w:tc>
          <w:tcPr>
            <w:tcW w:w="1419" w:type="dxa"/>
            <w:vMerge/>
            <w:shd w:val="clear" w:color="auto" w:fill="004251"/>
            <w:vAlign w:val="center"/>
          </w:tcPr>
          <w:p w14:paraId="47A8FE7E" w14:textId="77777777" w:rsidR="00F567F5" w:rsidRPr="00B714F6" w:rsidRDefault="00F567F5" w:rsidP="00CD78EB">
            <w:pPr>
              <w:jc w:val="center"/>
              <w:rPr>
                <w:rFonts w:ascii="Arial" w:hAnsi="Arial" w:cs="Arial"/>
              </w:rPr>
            </w:pPr>
          </w:p>
        </w:tc>
        <w:tc>
          <w:tcPr>
            <w:tcW w:w="992" w:type="dxa"/>
            <w:shd w:val="clear" w:color="auto" w:fill="FFC000"/>
            <w:vAlign w:val="center"/>
          </w:tcPr>
          <w:p w14:paraId="72D987A0" w14:textId="5C47384B" w:rsidR="00F567F5" w:rsidRPr="00B714F6" w:rsidRDefault="00F567F5" w:rsidP="00CD78EB">
            <w:pPr>
              <w:spacing w:line="276" w:lineRule="auto"/>
              <w:jc w:val="center"/>
              <w:rPr>
                <w:rFonts w:ascii="Arial" w:hAnsi="Arial" w:cs="Arial"/>
              </w:rPr>
            </w:pPr>
            <w:r>
              <w:rPr>
                <w:rFonts w:ascii="Arial" w:hAnsi="Arial" w:cs="Arial"/>
              </w:rPr>
              <w:t>Female</w:t>
            </w:r>
          </w:p>
        </w:tc>
        <w:tc>
          <w:tcPr>
            <w:tcW w:w="283" w:type="dxa"/>
            <w:vAlign w:val="center"/>
          </w:tcPr>
          <w:p w14:paraId="6DA50EB7" w14:textId="4B277FCE" w:rsidR="00F567F5" w:rsidRPr="00E6287A" w:rsidRDefault="00F567F5" w:rsidP="00CD78EB">
            <w:pPr>
              <w:jc w:val="center"/>
              <w:rPr>
                <w:rFonts w:ascii="Arial" w:hAnsi="Arial" w:cs="Arial"/>
                <w:b/>
              </w:rPr>
            </w:pPr>
          </w:p>
        </w:tc>
        <w:tc>
          <w:tcPr>
            <w:tcW w:w="4252" w:type="dxa"/>
            <w:vAlign w:val="center"/>
          </w:tcPr>
          <w:p w14:paraId="1E34FD16" w14:textId="4B86AE78" w:rsidR="00F567F5" w:rsidRPr="00E6287A" w:rsidRDefault="00107D5D" w:rsidP="00CD78EB">
            <w:pPr>
              <w:spacing w:line="276" w:lineRule="auto"/>
              <w:jc w:val="center"/>
              <w:rPr>
                <w:rFonts w:ascii="Arial" w:hAnsi="Arial" w:cs="Arial"/>
                <w:b/>
              </w:rPr>
            </w:pPr>
            <w:r>
              <w:rPr>
                <w:rFonts w:ascii="Arial" w:hAnsi="Arial" w:cs="Arial"/>
                <w:b/>
              </w:rPr>
              <w:t>66.3</w:t>
            </w:r>
            <w:r w:rsidR="00217D9A">
              <w:rPr>
                <w:rFonts w:ascii="Arial" w:hAnsi="Arial" w:cs="Arial"/>
                <w:b/>
              </w:rPr>
              <w:t>%</w:t>
            </w:r>
          </w:p>
        </w:tc>
      </w:tr>
      <w:tr w:rsidR="00F567F5" w14:paraId="3E8E3C27" w14:textId="77777777" w:rsidTr="00217D9A">
        <w:trPr>
          <w:trHeight w:val="539"/>
        </w:trPr>
        <w:tc>
          <w:tcPr>
            <w:tcW w:w="1419" w:type="dxa"/>
            <w:vMerge w:val="restart"/>
            <w:shd w:val="clear" w:color="auto" w:fill="004251"/>
            <w:vAlign w:val="center"/>
          </w:tcPr>
          <w:p w14:paraId="323308C6" w14:textId="5B9ED05B" w:rsidR="00F567F5" w:rsidRPr="00B714F6" w:rsidRDefault="00F567F5" w:rsidP="00CD78EB">
            <w:pPr>
              <w:jc w:val="center"/>
              <w:rPr>
                <w:rFonts w:ascii="Arial" w:hAnsi="Arial" w:cs="Arial"/>
              </w:rPr>
            </w:pPr>
            <w:r>
              <w:rPr>
                <w:rFonts w:ascii="Arial" w:hAnsi="Arial" w:cs="Arial"/>
              </w:rPr>
              <w:t>Lower quartile</w:t>
            </w:r>
          </w:p>
        </w:tc>
        <w:tc>
          <w:tcPr>
            <w:tcW w:w="992" w:type="dxa"/>
            <w:shd w:val="clear" w:color="auto" w:fill="FFC000"/>
            <w:vAlign w:val="center"/>
          </w:tcPr>
          <w:p w14:paraId="3BBAE968" w14:textId="4FA74057" w:rsidR="00F567F5" w:rsidRPr="00B714F6" w:rsidRDefault="00F567F5" w:rsidP="00CD78EB">
            <w:pPr>
              <w:spacing w:line="276" w:lineRule="auto"/>
              <w:jc w:val="center"/>
              <w:rPr>
                <w:rFonts w:ascii="Arial" w:hAnsi="Arial" w:cs="Arial"/>
              </w:rPr>
            </w:pPr>
            <w:r>
              <w:rPr>
                <w:rFonts w:ascii="Arial" w:hAnsi="Arial" w:cs="Arial"/>
              </w:rPr>
              <w:t>Male</w:t>
            </w:r>
          </w:p>
        </w:tc>
        <w:tc>
          <w:tcPr>
            <w:tcW w:w="283" w:type="dxa"/>
            <w:vAlign w:val="center"/>
          </w:tcPr>
          <w:p w14:paraId="5A6AE0BD" w14:textId="455EE62A" w:rsidR="00F567F5" w:rsidRPr="00E6287A" w:rsidRDefault="00F567F5" w:rsidP="00CD78EB">
            <w:pPr>
              <w:jc w:val="center"/>
              <w:rPr>
                <w:rFonts w:ascii="Arial" w:hAnsi="Arial" w:cs="Arial"/>
                <w:b/>
              </w:rPr>
            </w:pPr>
          </w:p>
        </w:tc>
        <w:tc>
          <w:tcPr>
            <w:tcW w:w="4252" w:type="dxa"/>
            <w:vAlign w:val="center"/>
          </w:tcPr>
          <w:p w14:paraId="0C990BDB" w14:textId="2726FD47" w:rsidR="00F567F5" w:rsidRPr="00E6287A" w:rsidRDefault="00107D5D" w:rsidP="00CD78EB">
            <w:pPr>
              <w:spacing w:line="276" w:lineRule="auto"/>
              <w:jc w:val="center"/>
              <w:rPr>
                <w:rFonts w:ascii="Arial" w:hAnsi="Arial" w:cs="Arial"/>
                <w:b/>
              </w:rPr>
            </w:pPr>
            <w:r>
              <w:rPr>
                <w:rFonts w:ascii="Arial" w:hAnsi="Arial" w:cs="Arial"/>
                <w:b/>
              </w:rPr>
              <w:t>23.38</w:t>
            </w:r>
            <w:r w:rsidR="00217D9A">
              <w:rPr>
                <w:rFonts w:ascii="Arial" w:hAnsi="Arial" w:cs="Arial"/>
                <w:b/>
              </w:rPr>
              <w:t>%</w:t>
            </w:r>
          </w:p>
        </w:tc>
      </w:tr>
      <w:tr w:rsidR="00F567F5" w14:paraId="562A63F3" w14:textId="77777777" w:rsidTr="00217D9A">
        <w:trPr>
          <w:trHeight w:val="539"/>
        </w:trPr>
        <w:tc>
          <w:tcPr>
            <w:tcW w:w="1419" w:type="dxa"/>
            <w:vMerge/>
            <w:shd w:val="clear" w:color="auto" w:fill="004251"/>
          </w:tcPr>
          <w:p w14:paraId="58AFEC19" w14:textId="77777777" w:rsidR="00F567F5" w:rsidRPr="00B714F6" w:rsidRDefault="00F567F5" w:rsidP="00CD78EB">
            <w:pPr>
              <w:rPr>
                <w:rFonts w:ascii="Arial" w:hAnsi="Arial" w:cs="Arial"/>
              </w:rPr>
            </w:pPr>
          </w:p>
        </w:tc>
        <w:tc>
          <w:tcPr>
            <w:tcW w:w="992" w:type="dxa"/>
            <w:shd w:val="clear" w:color="auto" w:fill="FFC000"/>
            <w:vAlign w:val="center"/>
          </w:tcPr>
          <w:p w14:paraId="71A669B3" w14:textId="477789A3" w:rsidR="00F567F5" w:rsidRPr="00B714F6" w:rsidRDefault="00F567F5" w:rsidP="00CD78EB">
            <w:pPr>
              <w:spacing w:line="276" w:lineRule="auto"/>
              <w:jc w:val="center"/>
              <w:rPr>
                <w:rFonts w:ascii="Arial" w:hAnsi="Arial" w:cs="Arial"/>
              </w:rPr>
            </w:pPr>
            <w:r>
              <w:rPr>
                <w:rFonts w:ascii="Arial" w:hAnsi="Arial" w:cs="Arial"/>
              </w:rPr>
              <w:t>Female</w:t>
            </w:r>
          </w:p>
        </w:tc>
        <w:tc>
          <w:tcPr>
            <w:tcW w:w="283" w:type="dxa"/>
            <w:vAlign w:val="center"/>
          </w:tcPr>
          <w:p w14:paraId="1A965FCC" w14:textId="64B0BB69" w:rsidR="00F567F5" w:rsidRPr="00E6287A" w:rsidRDefault="00F567F5" w:rsidP="00CD78EB">
            <w:pPr>
              <w:jc w:val="center"/>
              <w:rPr>
                <w:rFonts w:ascii="Arial" w:hAnsi="Arial" w:cs="Arial"/>
                <w:b/>
              </w:rPr>
            </w:pPr>
          </w:p>
        </w:tc>
        <w:tc>
          <w:tcPr>
            <w:tcW w:w="4252" w:type="dxa"/>
            <w:vAlign w:val="center"/>
          </w:tcPr>
          <w:p w14:paraId="1831E773" w14:textId="624FC64D" w:rsidR="00F567F5" w:rsidRPr="00E6287A" w:rsidRDefault="00107D5D" w:rsidP="00CD78EB">
            <w:pPr>
              <w:spacing w:line="276" w:lineRule="auto"/>
              <w:jc w:val="center"/>
              <w:rPr>
                <w:rFonts w:ascii="Arial" w:hAnsi="Arial" w:cs="Arial"/>
                <w:b/>
              </w:rPr>
            </w:pPr>
            <w:r>
              <w:rPr>
                <w:rFonts w:ascii="Arial" w:hAnsi="Arial" w:cs="Arial"/>
                <w:b/>
              </w:rPr>
              <w:t>76.62</w:t>
            </w:r>
            <w:r w:rsidR="00217D9A">
              <w:rPr>
                <w:rFonts w:ascii="Arial" w:hAnsi="Arial" w:cs="Arial"/>
                <w:b/>
              </w:rPr>
              <w:t>%</w:t>
            </w:r>
          </w:p>
        </w:tc>
      </w:tr>
    </w:tbl>
    <w:p w14:paraId="69E485EA" w14:textId="77777777" w:rsidR="00C077CF" w:rsidRDefault="00C077CF" w:rsidP="00A407AA">
      <w:pPr>
        <w:jc w:val="both"/>
        <w:rPr>
          <w:rFonts w:ascii="Arial" w:eastAsiaTheme="minorEastAsia" w:hAnsi="Arial" w:cs="Arial"/>
          <w:b/>
          <w:color w:val="000000" w:themeColor="text1"/>
          <w:lang w:val="en-US" w:eastAsia="ja-JP"/>
        </w:rPr>
      </w:pPr>
    </w:p>
    <w:p w14:paraId="0BD475FA" w14:textId="77777777" w:rsidR="00B650CA" w:rsidRDefault="00B650CA" w:rsidP="00A407AA">
      <w:pPr>
        <w:jc w:val="both"/>
        <w:rPr>
          <w:rFonts w:ascii="Arial" w:eastAsiaTheme="minorEastAsia" w:hAnsi="Arial" w:cs="Arial"/>
          <w:b/>
          <w:color w:val="000000" w:themeColor="text1"/>
          <w:lang w:val="en-US" w:eastAsia="ja-JP"/>
        </w:rPr>
      </w:pPr>
    </w:p>
    <w:p w14:paraId="2470A0C0" w14:textId="77777777" w:rsidR="00B650CA" w:rsidRDefault="00B650CA" w:rsidP="00A407AA">
      <w:pPr>
        <w:jc w:val="both"/>
        <w:rPr>
          <w:rFonts w:ascii="Arial" w:eastAsiaTheme="minorEastAsia" w:hAnsi="Arial" w:cs="Arial"/>
          <w:b/>
          <w:color w:val="000000" w:themeColor="text1"/>
          <w:lang w:val="en-US" w:eastAsia="ja-JP"/>
        </w:rPr>
      </w:pPr>
    </w:p>
    <w:p w14:paraId="4C606BFB" w14:textId="7EF25D1D" w:rsidR="00022737" w:rsidRDefault="00022737" w:rsidP="00A407AA">
      <w:pPr>
        <w:jc w:val="both"/>
        <w:rPr>
          <w:rFonts w:ascii="Arial" w:eastAsiaTheme="minorEastAsia" w:hAnsi="Arial" w:cs="Arial"/>
          <w:b/>
          <w:color w:val="000000" w:themeColor="text1"/>
          <w:lang w:val="en-US" w:eastAsia="ja-JP"/>
        </w:rPr>
      </w:pPr>
      <w:r>
        <w:rPr>
          <w:rFonts w:ascii="Arial" w:eastAsiaTheme="minorEastAsia" w:hAnsi="Arial" w:cs="Arial"/>
          <w:b/>
          <w:color w:val="000000" w:themeColor="text1"/>
          <w:lang w:val="en-US" w:eastAsia="ja-JP"/>
        </w:rPr>
        <w:t>How do we use this gender pay gap information?</w:t>
      </w:r>
    </w:p>
    <w:p w14:paraId="37E752EF" w14:textId="0FD3BA92" w:rsidR="00B81D45" w:rsidRDefault="00B81D45" w:rsidP="00A407AA">
      <w:pPr>
        <w:jc w:val="both"/>
        <w:rPr>
          <w:rFonts w:ascii="Arial" w:eastAsiaTheme="minorEastAsia" w:hAnsi="Arial" w:cs="Arial"/>
          <w:lang w:val="en-US" w:eastAsia="ja-JP"/>
        </w:rPr>
      </w:pPr>
      <w:r>
        <w:rPr>
          <w:rFonts w:ascii="Arial" w:eastAsiaTheme="minorEastAsia" w:hAnsi="Arial" w:cs="Arial"/>
          <w:lang w:val="en-US" w:eastAsia="ja-JP"/>
        </w:rPr>
        <w:t>Ironstone Academy Trust continues to operate as an equal opportunities employer and does not discriminate in any way (as define</w:t>
      </w:r>
      <w:r w:rsidR="00B650CA">
        <w:rPr>
          <w:rFonts w:ascii="Arial" w:eastAsiaTheme="minorEastAsia" w:hAnsi="Arial" w:cs="Arial"/>
          <w:lang w:val="en-US" w:eastAsia="ja-JP"/>
        </w:rPr>
        <w:t>d</w:t>
      </w:r>
      <w:r>
        <w:rPr>
          <w:rFonts w:ascii="Arial" w:eastAsiaTheme="minorEastAsia" w:hAnsi="Arial" w:cs="Arial"/>
          <w:lang w:val="en-US" w:eastAsia="ja-JP"/>
        </w:rPr>
        <w:t xml:space="preserve"> by the Equalities Act 2010 and other relevant legislation), regarding recruitment, performance management and employee career development opportunities.</w:t>
      </w:r>
      <w:r w:rsidR="00991636">
        <w:rPr>
          <w:rFonts w:ascii="Arial" w:eastAsiaTheme="minorEastAsia" w:hAnsi="Arial" w:cs="Arial"/>
          <w:lang w:val="en-US" w:eastAsia="ja-JP"/>
        </w:rPr>
        <w:t xml:space="preserve">  We use this information to further develop strategic roles within the trust schools and to ensure fairness.</w:t>
      </w:r>
      <w:r w:rsidR="00ED1E24">
        <w:rPr>
          <w:rFonts w:ascii="Arial" w:eastAsiaTheme="minorEastAsia" w:hAnsi="Arial" w:cs="Arial"/>
          <w:lang w:val="en-US" w:eastAsia="ja-JP"/>
        </w:rPr>
        <w:t xml:space="preserve">  We can use the results to assess;</w:t>
      </w:r>
    </w:p>
    <w:p w14:paraId="572772A6" w14:textId="2003A3AA" w:rsidR="00ED1E24" w:rsidRDefault="00ED1E24" w:rsidP="00ED1E24">
      <w:pPr>
        <w:pStyle w:val="ListParagraph"/>
        <w:numPr>
          <w:ilvl w:val="0"/>
          <w:numId w:val="24"/>
        </w:numPr>
        <w:jc w:val="both"/>
        <w:rPr>
          <w:rFonts w:ascii="Arial" w:eastAsiaTheme="minorEastAsia" w:hAnsi="Arial" w:cs="Arial"/>
          <w:lang w:val="en-US" w:eastAsia="ja-JP"/>
        </w:rPr>
      </w:pPr>
      <w:r>
        <w:rPr>
          <w:rFonts w:ascii="Arial" w:eastAsiaTheme="minorEastAsia" w:hAnsi="Arial" w:cs="Arial"/>
          <w:lang w:val="en-US" w:eastAsia="ja-JP"/>
        </w:rPr>
        <w:t>The levels of gender equality in our workplace</w:t>
      </w:r>
    </w:p>
    <w:p w14:paraId="5752D6B4" w14:textId="459C7754" w:rsidR="00ED1E24" w:rsidRDefault="00ED1E24" w:rsidP="00ED1E24">
      <w:pPr>
        <w:pStyle w:val="ListParagraph"/>
        <w:numPr>
          <w:ilvl w:val="0"/>
          <w:numId w:val="24"/>
        </w:numPr>
        <w:jc w:val="both"/>
        <w:rPr>
          <w:rFonts w:ascii="Arial" w:eastAsiaTheme="minorEastAsia" w:hAnsi="Arial" w:cs="Arial"/>
          <w:lang w:val="en-US" w:eastAsia="ja-JP"/>
        </w:rPr>
      </w:pPr>
      <w:r>
        <w:rPr>
          <w:rFonts w:ascii="Arial" w:eastAsiaTheme="minorEastAsia" w:hAnsi="Arial" w:cs="Arial"/>
          <w:lang w:val="en-US" w:eastAsia="ja-JP"/>
        </w:rPr>
        <w:t>The balance of male and female employees at different levels</w:t>
      </w:r>
    </w:p>
    <w:p w14:paraId="6FC3CD00" w14:textId="68D1A7C5" w:rsidR="00ED1E24" w:rsidRPr="00ED1E24" w:rsidRDefault="00ED1E24" w:rsidP="00ED1E24">
      <w:pPr>
        <w:pStyle w:val="ListParagraph"/>
        <w:numPr>
          <w:ilvl w:val="0"/>
          <w:numId w:val="24"/>
        </w:numPr>
        <w:jc w:val="both"/>
        <w:rPr>
          <w:rFonts w:ascii="Arial" w:eastAsiaTheme="minorEastAsia" w:hAnsi="Arial" w:cs="Arial"/>
          <w:lang w:val="en-US" w:eastAsia="ja-JP"/>
        </w:rPr>
      </w:pPr>
      <w:r>
        <w:rPr>
          <w:rFonts w:ascii="Arial" w:eastAsiaTheme="minorEastAsia" w:hAnsi="Arial" w:cs="Arial"/>
          <w:lang w:val="en-US" w:eastAsia="ja-JP"/>
        </w:rPr>
        <w:t>How effectively talent is being maximized and rewarded</w:t>
      </w:r>
    </w:p>
    <w:p w14:paraId="3FCDC79B" w14:textId="77777777" w:rsidR="00022737" w:rsidRDefault="00022737" w:rsidP="00A407AA">
      <w:pPr>
        <w:jc w:val="both"/>
        <w:rPr>
          <w:rFonts w:ascii="Arial" w:eastAsiaTheme="minorEastAsia" w:hAnsi="Arial" w:cs="Arial"/>
          <w:b/>
          <w:lang w:val="en-US" w:eastAsia="ja-JP"/>
        </w:rPr>
      </w:pPr>
    </w:p>
    <w:p w14:paraId="142F0C3D" w14:textId="4F4AD7BD" w:rsidR="0089264A" w:rsidRPr="001C3A3A" w:rsidRDefault="001C3A3A" w:rsidP="00A407AA">
      <w:pPr>
        <w:jc w:val="both"/>
        <w:rPr>
          <w:rFonts w:ascii="Arial" w:eastAsiaTheme="minorEastAsia" w:hAnsi="Arial" w:cs="Arial"/>
          <w:b/>
          <w:lang w:val="en-US" w:eastAsia="ja-JP"/>
        </w:rPr>
      </w:pPr>
      <w:r w:rsidRPr="001C3A3A">
        <w:rPr>
          <w:rFonts w:ascii="Arial" w:eastAsiaTheme="minorEastAsia" w:hAnsi="Arial" w:cs="Arial"/>
          <w:b/>
          <w:lang w:val="en-US" w:eastAsia="ja-JP"/>
        </w:rPr>
        <w:t xml:space="preserve">Why does our </w:t>
      </w:r>
      <w:r w:rsidR="00185B52">
        <w:rPr>
          <w:rFonts w:ascii="Arial" w:eastAsiaTheme="minorEastAsia" w:hAnsi="Arial" w:cs="Arial"/>
          <w:b/>
          <w:lang w:val="en-US" w:eastAsia="ja-JP"/>
        </w:rPr>
        <w:t>trust</w:t>
      </w:r>
      <w:r w:rsidRPr="001C3A3A">
        <w:rPr>
          <w:rFonts w:ascii="Arial" w:eastAsiaTheme="minorEastAsia" w:hAnsi="Arial" w:cs="Arial"/>
          <w:b/>
          <w:lang w:val="en-US" w:eastAsia="ja-JP"/>
        </w:rPr>
        <w:t xml:space="preserve"> have a gender pay gap?</w:t>
      </w:r>
    </w:p>
    <w:p w14:paraId="6BF54611" w14:textId="2557B01C" w:rsidR="0089264A" w:rsidRDefault="001974FF" w:rsidP="00A407AA">
      <w:pPr>
        <w:jc w:val="both"/>
        <w:rPr>
          <w:rFonts w:ascii="Arial" w:eastAsiaTheme="minorEastAsia" w:hAnsi="Arial" w:cs="Arial"/>
          <w:b/>
          <w:color w:val="347186"/>
          <w:lang w:val="en-US" w:eastAsia="ja-JP"/>
        </w:rPr>
      </w:pPr>
      <w:r>
        <w:rPr>
          <w:rFonts w:ascii="Arial" w:eastAsiaTheme="minorEastAsia" w:hAnsi="Arial" w:cs="Arial"/>
          <w:lang w:val="en-US" w:eastAsia="ja-JP"/>
        </w:rPr>
        <w:t xml:space="preserve">The gender pay gap is </w:t>
      </w:r>
      <w:proofErr w:type="spellStart"/>
      <w:r>
        <w:rPr>
          <w:rFonts w:ascii="Arial" w:eastAsiaTheme="minorEastAsia" w:hAnsi="Arial" w:cs="Arial"/>
          <w:lang w:val="en-US" w:eastAsia="ja-JP"/>
        </w:rPr>
        <w:t>contextualised</w:t>
      </w:r>
      <w:proofErr w:type="spellEnd"/>
      <w:r>
        <w:rPr>
          <w:rFonts w:ascii="Arial" w:eastAsiaTheme="minorEastAsia" w:hAnsi="Arial" w:cs="Arial"/>
          <w:lang w:val="en-US" w:eastAsia="ja-JP"/>
        </w:rPr>
        <w:t xml:space="preserve"> by the quartile banding analysis above.  This demonstrates that there are proportionally greater numbers of women occupying lower paid roles than men.  Other than apprentices, the lower paid roles include, for example, cleaners, catering assistants, midday supervisors, roles that without organizational influence are currently held by more women than men.  </w:t>
      </w:r>
      <w:r w:rsidR="00991636">
        <w:rPr>
          <w:rFonts w:ascii="Arial" w:eastAsiaTheme="minorEastAsia" w:hAnsi="Arial" w:cs="Arial"/>
          <w:lang w:val="en-US" w:eastAsia="ja-JP"/>
        </w:rPr>
        <w:t xml:space="preserve"> There may be cultural reasons why these roles attract greater number of female workers.  For example the roles described above are part-time and as such attract such workers who choose to combine part time working with childcare.  The overall gender pay gap therefore reflects workforce composition rather than pay inequalities</w:t>
      </w:r>
      <w:r>
        <w:rPr>
          <w:rFonts w:ascii="Arial" w:eastAsiaTheme="minorEastAsia" w:hAnsi="Arial" w:cs="Arial"/>
          <w:lang w:val="en-US" w:eastAsia="ja-JP"/>
        </w:rPr>
        <w:t xml:space="preserve">. </w:t>
      </w:r>
    </w:p>
    <w:p w14:paraId="52CE8E0D" w14:textId="77777777" w:rsidR="00022737" w:rsidRDefault="00022737" w:rsidP="00A407AA">
      <w:pPr>
        <w:jc w:val="both"/>
        <w:rPr>
          <w:rFonts w:ascii="Arial" w:eastAsiaTheme="minorEastAsia" w:hAnsi="Arial" w:cs="Arial"/>
          <w:b/>
          <w:color w:val="347186"/>
          <w:lang w:val="en-US" w:eastAsia="ja-JP"/>
        </w:rPr>
      </w:pPr>
    </w:p>
    <w:p w14:paraId="7719E385" w14:textId="77777777" w:rsidR="00217D9A" w:rsidRDefault="00217D9A" w:rsidP="00A407AA">
      <w:pPr>
        <w:jc w:val="both"/>
        <w:rPr>
          <w:rFonts w:ascii="Arial" w:eastAsiaTheme="minorEastAsia" w:hAnsi="Arial" w:cs="Arial"/>
          <w:b/>
          <w:color w:val="000000" w:themeColor="text1"/>
          <w:lang w:val="en-US" w:eastAsia="ja-JP"/>
        </w:rPr>
      </w:pPr>
    </w:p>
    <w:p w14:paraId="542AAA19" w14:textId="77777777" w:rsidR="00217D9A" w:rsidRDefault="00217D9A" w:rsidP="00A407AA">
      <w:pPr>
        <w:jc w:val="both"/>
        <w:rPr>
          <w:rFonts w:ascii="Arial" w:eastAsiaTheme="minorEastAsia" w:hAnsi="Arial" w:cs="Arial"/>
          <w:b/>
          <w:color w:val="000000" w:themeColor="text1"/>
          <w:lang w:val="en-US" w:eastAsia="ja-JP"/>
        </w:rPr>
      </w:pPr>
    </w:p>
    <w:p w14:paraId="03004356" w14:textId="77777777" w:rsidR="00217D9A" w:rsidRDefault="00217D9A" w:rsidP="00A407AA">
      <w:pPr>
        <w:jc w:val="both"/>
        <w:rPr>
          <w:rFonts w:ascii="Arial" w:eastAsiaTheme="minorEastAsia" w:hAnsi="Arial" w:cs="Arial"/>
          <w:b/>
          <w:color w:val="000000" w:themeColor="text1"/>
          <w:lang w:val="en-US" w:eastAsia="ja-JP"/>
        </w:rPr>
      </w:pPr>
    </w:p>
    <w:p w14:paraId="163ABA8E" w14:textId="5A0C511D" w:rsidR="001C3A3A" w:rsidRPr="001C3A3A" w:rsidRDefault="001C3A3A" w:rsidP="00A407AA">
      <w:pPr>
        <w:jc w:val="both"/>
        <w:rPr>
          <w:rFonts w:ascii="Arial" w:eastAsiaTheme="minorEastAsia" w:hAnsi="Arial" w:cs="Arial"/>
          <w:b/>
          <w:color w:val="000000" w:themeColor="text1"/>
          <w:lang w:val="en-US" w:eastAsia="ja-JP"/>
        </w:rPr>
      </w:pPr>
      <w:r w:rsidRPr="001C3A3A">
        <w:rPr>
          <w:rFonts w:ascii="Arial" w:eastAsiaTheme="minorEastAsia" w:hAnsi="Arial" w:cs="Arial"/>
          <w:b/>
          <w:color w:val="000000" w:themeColor="text1"/>
          <w:lang w:val="en-US" w:eastAsia="ja-JP"/>
        </w:rPr>
        <w:t xml:space="preserve">How is our </w:t>
      </w:r>
      <w:r w:rsidR="00185B52">
        <w:rPr>
          <w:rFonts w:ascii="Arial" w:eastAsiaTheme="minorEastAsia" w:hAnsi="Arial" w:cs="Arial"/>
          <w:b/>
          <w:color w:val="000000" w:themeColor="text1"/>
          <w:lang w:val="en-US" w:eastAsia="ja-JP"/>
        </w:rPr>
        <w:t>trust</w:t>
      </w:r>
      <w:r w:rsidRPr="001C3A3A">
        <w:rPr>
          <w:rFonts w:ascii="Arial" w:eastAsiaTheme="minorEastAsia" w:hAnsi="Arial" w:cs="Arial"/>
          <w:b/>
          <w:color w:val="000000" w:themeColor="text1"/>
          <w:lang w:val="en-US" w:eastAsia="ja-JP"/>
        </w:rPr>
        <w:t xml:space="preserve"> working to reduce the gender pay gap?</w:t>
      </w:r>
    </w:p>
    <w:p w14:paraId="3B8DE613" w14:textId="300BDC18" w:rsidR="0089264A" w:rsidRPr="001974FF" w:rsidRDefault="001974FF" w:rsidP="00A407AA">
      <w:pPr>
        <w:jc w:val="both"/>
        <w:rPr>
          <w:rFonts w:ascii="Arial" w:eastAsiaTheme="minorEastAsia" w:hAnsi="Arial" w:cs="Arial"/>
          <w:lang w:val="en-US" w:eastAsia="ja-JP"/>
        </w:rPr>
      </w:pPr>
      <w:r>
        <w:rPr>
          <w:rFonts w:ascii="Arial" w:eastAsiaTheme="minorEastAsia" w:hAnsi="Arial" w:cs="Arial"/>
          <w:lang w:val="en-US" w:eastAsia="ja-JP"/>
        </w:rPr>
        <w:t xml:space="preserve">Ironstone Academy Trust is committed to equality of opportunity in recruitment, development, pay progression and values the diversity of its workforce.  We will continue to ensure that decisions made in relation to recruitment, development, pay progression and bonus pay can be evidenced against clearly defined and robust criteria.  </w:t>
      </w:r>
      <w:r w:rsidR="00991636">
        <w:rPr>
          <w:rFonts w:ascii="Arial" w:eastAsiaTheme="minorEastAsia" w:hAnsi="Arial" w:cs="Arial"/>
          <w:lang w:val="en-US" w:eastAsia="ja-JP"/>
        </w:rPr>
        <w:t xml:space="preserve">All our posts are aligned to nationally agreed pay scales and our males and females are paid within the same pay band for the same job role. </w:t>
      </w:r>
    </w:p>
    <w:p w14:paraId="22E4543E" w14:textId="77777777" w:rsidR="00A407AA" w:rsidRPr="001C3A3A" w:rsidRDefault="00A407AA" w:rsidP="00A407AA">
      <w:pPr>
        <w:jc w:val="both"/>
        <w:rPr>
          <w:rFonts w:ascii="Arial" w:eastAsiaTheme="minorEastAsia" w:hAnsi="Arial" w:cs="Arial"/>
          <w:b/>
          <w:color w:val="347186"/>
          <w:lang w:val="en-US" w:eastAsia="ja-JP"/>
        </w:rPr>
      </w:pPr>
    </w:p>
    <w:p w14:paraId="4DC02FF5" w14:textId="4E1E30EB" w:rsidR="0089264A" w:rsidRDefault="00A97BCE" w:rsidP="00A407AA">
      <w:pPr>
        <w:jc w:val="both"/>
        <w:rPr>
          <w:rFonts w:ascii="Arial" w:eastAsiaTheme="minorEastAsia" w:hAnsi="Arial" w:cs="Arial"/>
          <w:b/>
          <w:lang w:val="en-US" w:eastAsia="ja-JP"/>
        </w:rPr>
      </w:pPr>
      <w:r w:rsidRPr="00A97BCE">
        <w:rPr>
          <w:rFonts w:ascii="Arial" w:eastAsiaTheme="minorEastAsia" w:hAnsi="Arial" w:cs="Arial"/>
          <w:b/>
          <w:lang w:val="en-US" w:eastAsia="ja-JP"/>
        </w:rPr>
        <w:t>Written statement</w:t>
      </w:r>
    </w:p>
    <w:p w14:paraId="6CD34ED8" w14:textId="1548C67D" w:rsidR="00A97BCE" w:rsidRDefault="00B650CA" w:rsidP="00A407AA">
      <w:pPr>
        <w:jc w:val="both"/>
        <w:rPr>
          <w:rFonts w:ascii="Arial" w:eastAsiaTheme="minorEastAsia" w:hAnsi="Arial" w:cs="Arial"/>
          <w:b/>
          <w:color w:val="347186"/>
          <w:lang w:val="en-US" w:eastAsia="ja-JP"/>
        </w:rPr>
      </w:pPr>
      <w:r>
        <w:rPr>
          <w:rFonts w:ascii="Arial" w:eastAsiaTheme="minorEastAsia" w:hAnsi="Arial" w:cs="Arial"/>
          <w:lang w:val="en-US" w:eastAsia="ja-JP"/>
        </w:rPr>
        <w:t>I can confirm the above information has been prepared from our payroll data on the snapshot data and fairly represents the Gender Pay Gap Information for Ironstone Academy Trust.</w:t>
      </w:r>
    </w:p>
    <w:p w14:paraId="2DCE85FA" w14:textId="6868CF70" w:rsidR="00A97BCE" w:rsidRDefault="00A97BCE" w:rsidP="00C51C82">
      <w:pPr>
        <w:rPr>
          <w:rFonts w:ascii="Arial" w:eastAsiaTheme="minorEastAsia" w:hAnsi="Arial" w:cs="Arial"/>
          <w:color w:val="000000" w:themeColor="text1"/>
          <w:lang w:val="en-US" w:eastAsia="ja-JP"/>
        </w:rPr>
      </w:pPr>
      <w:r w:rsidRPr="00A97BCE">
        <w:rPr>
          <w:rFonts w:ascii="Arial" w:eastAsiaTheme="minorEastAsia" w:hAnsi="Arial" w:cs="Arial"/>
          <w:color w:val="000000" w:themeColor="text1"/>
          <w:lang w:val="en-US" w:eastAsia="ja-JP"/>
        </w:rPr>
        <w:t xml:space="preserve">I, </w:t>
      </w:r>
      <w:r w:rsidR="00401FD3">
        <w:rPr>
          <w:rFonts w:ascii="Arial" w:eastAsiaTheme="minorEastAsia" w:hAnsi="Arial" w:cs="Arial"/>
          <w:color w:val="000000" w:themeColor="text1"/>
          <w:lang w:val="en-US" w:eastAsia="ja-JP"/>
        </w:rPr>
        <w:t>Carl Faulkner</w:t>
      </w:r>
      <w:r>
        <w:rPr>
          <w:rFonts w:ascii="Arial" w:eastAsiaTheme="minorEastAsia" w:hAnsi="Arial" w:cs="Arial"/>
          <w:color w:val="000000" w:themeColor="text1"/>
          <w:lang w:val="en-US" w:eastAsia="ja-JP"/>
        </w:rPr>
        <w:t xml:space="preserve"> confirm that the above data is factually correct.</w:t>
      </w:r>
    </w:p>
    <w:p w14:paraId="23DC6A85" w14:textId="3F83A7C5" w:rsidR="00A97BCE" w:rsidRDefault="00A97BCE" w:rsidP="00C51C82">
      <w:pPr>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Signed: </w:t>
      </w:r>
      <w:r w:rsidR="00990E9B">
        <w:rPr>
          <w:rFonts w:ascii="Arial" w:eastAsiaTheme="minorEastAsia" w:hAnsi="Arial" w:cs="Arial"/>
          <w:i/>
          <w:color w:val="000000" w:themeColor="text1"/>
          <w:lang w:val="en-US" w:eastAsia="ja-JP"/>
        </w:rPr>
        <w:t>Carl Faulkner</w:t>
      </w:r>
      <w:r w:rsidR="00990E9B">
        <w:rPr>
          <w:rFonts w:ascii="Arial" w:eastAsiaTheme="minorEastAsia" w:hAnsi="Arial" w:cs="Arial"/>
          <w:color w:val="000000" w:themeColor="text1"/>
          <w:lang w:val="en-US" w:eastAsia="ja-JP"/>
        </w:rPr>
        <w:tab/>
      </w:r>
      <w:r w:rsidR="00401FD3">
        <w:rPr>
          <w:rFonts w:ascii="Arial" w:eastAsiaTheme="minorEastAsia" w:hAnsi="Arial" w:cs="Arial"/>
          <w:color w:val="000000" w:themeColor="text1"/>
          <w:lang w:val="en-US" w:eastAsia="ja-JP"/>
        </w:rPr>
        <w:tab/>
        <w:t>CEO/Accounting Officer - IAT</w:t>
      </w:r>
    </w:p>
    <w:p w14:paraId="7B03011E" w14:textId="76674FDF" w:rsidR="00A97BCE" w:rsidRPr="00A97BCE" w:rsidRDefault="00A97BCE" w:rsidP="00C51C82">
      <w:pPr>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Date: </w:t>
      </w:r>
      <w:r w:rsidR="008E1109">
        <w:rPr>
          <w:rFonts w:ascii="Arial" w:eastAsiaTheme="minorEastAsia" w:hAnsi="Arial" w:cs="Arial"/>
          <w:color w:val="000000" w:themeColor="text1"/>
          <w:lang w:val="en-US" w:eastAsia="ja-JP"/>
        </w:rPr>
        <w:t>21</w:t>
      </w:r>
      <w:r w:rsidR="00EF3147">
        <w:rPr>
          <w:rFonts w:ascii="Arial" w:eastAsiaTheme="minorEastAsia" w:hAnsi="Arial" w:cs="Arial"/>
          <w:color w:val="000000" w:themeColor="text1"/>
          <w:lang w:val="en-US" w:eastAsia="ja-JP"/>
        </w:rPr>
        <w:t>.0</w:t>
      </w:r>
      <w:r w:rsidR="008E1109">
        <w:rPr>
          <w:rFonts w:ascii="Arial" w:eastAsiaTheme="minorEastAsia" w:hAnsi="Arial" w:cs="Arial"/>
          <w:color w:val="000000" w:themeColor="text1"/>
          <w:lang w:val="en-US" w:eastAsia="ja-JP"/>
        </w:rPr>
        <w:t>3</w:t>
      </w:r>
      <w:r w:rsidR="00EF3147">
        <w:rPr>
          <w:rFonts w:ascii="Arial" w:eastAsiaTheme="minorEastAsia" w:hAnsi="Arial" w:cs="Arial"/>
          <w:color w:val="000000" w:themeColor="text1"/>
          <w:lang w:val="en-US" w:eastAsia="ja-JP"/>
        </w:rPr>
        <w:t>.2</w:t>
      </w:r>
      <w:r w:rsidR="008E1109">
        <w:rPr>
          <w:rFonts w:ascii="Arial" w:eastAsiaTheme="minorEastAsia" w:hAnsi="Arial" w:cs="Arial"/>
          <w:color w:val="000000" w:themeColor="text1"/>
          <w:lang w:val="en-US" w:eastAsia="ja-JP"/>
        </w:rPr>
        <w:t>3</w:t>
      </w:r>
    </w:p>
    <w:sectPr w:rsidR="00A97BCE" w:rsidRPr="00A97BCE" w:rsidSect="00EE4A72">
      <w:headerReference w:type="default" r:id="rId8"/>
      <w:headerReference w:type="first" r:id="rId9"/>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D7C2" w14:textId="77777777" w:rsidR="008B5A77" w:rsidRDefault="008B5A77">
      <w:pPr>
        <w:spacing w:after="0" w:line="240" w:lineRule="auto"/>
      </w:pPr>
      <w:r>
        <w:separator/>
      </w:r>
    </w:p>
  </w:endnote>
  <w:endnote w:type="continuationSeparator" w:id="0">
    <w:p w14:paraId="19040A0B" w14:textId="77777777" w:rsidR="008B5A77" w:rsidRDefault="008B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62FE" w14:textId="77777777" w:rsidR="008B5A77" w:rsidRDefault="008B5A77">
      <w:pPr>
        <w:spacing w:after="0" w:line="240" w:lineRule="auto"/>
      </w:pPr>
      <w:r>
        <w:separator/>
      </w:r>
    </w:p>
  </w:footnote>
  <w:footnote w:type="continuationSeparator" w:id="0">
    <w:p w14:paraId="4BE25E77" w14:textId="77777777" w:rsidR="008B5A77" w:rsidRDefault="008B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6A095" w14:textId="5EFE8A3C" w:rsidR="00B81D45" w:rsidRDefault="00B81D45" w:rsidP="00B81D45">
    <w:pPr>
      <w:pStyle w:val="Header"/>
      <w:jc w:val="right"/>
    </w:pPr>
    <w:r>
      <w:rPr>
        <w:noProof/>
        <w:lang w:eastAsia="en-GB"/>
      </w:rPr>
      <w:drawing>
        <wp:inline distT="0" distB="0" distL="0" distR="0" wp14:anchorId="660A0B2B" wp14:editId="696518FC">
          <wp:extent cx="4318424" cy="1095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nstone Academy Logo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1136" cy="10960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1C2D" w14:textId="6152181C" w:rsidR="00EE4A72" w:rsidRDefault="00B81D45">
    <w:pPr>
      <w:pStyle w:val="Header"/>
    </w:pPr>
    <w:r>
      <w:rPr>
        <w:noProof/>
        <w:lang w:eastAsia="en-GB"/>
      </w:rPr>
      <w:drawing>
        <wp:anchor distT="0" distB="0" distL="114300" distR="114300" simplePos="0" relativeHeight="251660288" behindDoc="1" locked="0" layoutInCell="1" allowOverlap="1" wp14:anchorId="7EF71B9C" wp14:editId="71F83CEA">
          <wp:simplePos x="0" y="0"/>
          <wp:positionH relativeFrom="column">
            <wp:posOffset>552450</wp:posOffset>
          </wp:positionH>
          <wp:positionV relativeFrom="paragraph">
            <wp:posOffset>142875</wp:posOffset>
          </wp:positionV>
          <wp:extent cx="4318635" cy="1571625"/>
          <wp:effectExtent l="0" t="0" r="571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nstone Academy Logo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635" cy="1571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B3243C"/>
    <w:multiLevelType w:val="hybridMultilevel"/>
    <w:tmpl w:val="AA48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2"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0"/>
  </w:num>
  <w:num w:numId="5">
    <w:abstractNumId w:val="10"/>
  </w:num>
  <w:num w:numId="6">
    <w:abstractNumId w:val="5"/>
  </w:num>
  <w:num w:numId="7">
    <w:abstractNumId w:val="22"/>
  </w:num>
  <w:num w:numId="8">
    <w:abstractNumId w:val="14"/>
  </w:num>
  <w:num w:numId="9">
    <w:abstractNumId w:val="7"/>
  </w:num>
  <w:num w:numId="10">
    <w:abstractNumId w:val="15"/>
  </w:num>
  <w:num w:numId="11">
    <w:abstractNumId w:val="2"/>
  </w:num>
  <w:num w:numId="12">
    <w:abstractNumId w:val="17"/>
  </w:num>
  <w:num w:numId="13">
    <w:abstractNumId w:val="3"/>
  </w:num>
  <w:num w:numId="14">
    <w:abstractNumId w:val="21"/>
  </w:num>
  <w:num w:numId="15">
    <w:abstractNumId w:val="9"/>
  </w:num>
  <w:num w:numId="16">
    <w:abstractNumId w:val="20"/>
  </w:num>
  <w:num w:numId="17">
    <w:abstractNumId w:val="18"/>
  </w:num>
  <w:num w:numId="18">
    <w:abstractNumId w:val="23"/>
  </w:num>
  <w:num w:numId="19">
    <w:abstractNumId w:val="1"/>
  </w:num>
  <w:num w:numId="20">
    <w:abstractNumId w:val="19"/>
  </w:num>
  <w:num w:numId="21">
    <w:abstractNumId w:val="11"/>
  </w:num>
  <w:num w:numId="22">
    <w:abstractNumId w:val="13"/>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FE"/>
    <w:rsid w:val="00012AE1"/>
    <w:rsid w:val="00022737"/>
    <w:rsid w:val="0002480D"/>
    <w:rsid w:val="00034C37"/>
    <w:rsid w:val="00047A11"/>
    <w:rsid w:val="0005295A"/>
    <w:rsid w:val="00057C93"/>
    <w:rsid w:val="00064C63"/>
    <w:rsid w:val="0007260F"/>
    <w:rsid w:val="0009158B"/>
    <w:rsid w:val="000A2E33"/>
    <w:rsid w:val="000A3370"/>
    <w:rsid w:val="000A7162"/>
    <w:rsid w:val="000B1280"/>
    <w:rsid w:val="000C6EC1"/>
    <w:rsid w:val="000D6827"/>
    <w:rsid w:val="000F69FB"/>
    <w:rsid w:val="00107D5D"/>
    <w:rsid w:val="00123DBB"/>
    <w:rsid w:val="0015764B"/>
    <w:rsid w:val="00167476"/>
    <w:rsid w:val="00172989"/>
    <w:rsid w:val="001746AC"/>
    <w:rsid w:val="00176E0D"/>
    <w:rsid w:val="00177FA2"/>
    <w:rsid w:val="00182970"/>
    <w:rsid w:val="00185B52"/>
    <w:rsid w:val="001913C0"/>
    <w:rsid w:val="001974FF"/>
    <w:rsid w:val="001A00B3"/>
    <w:rsid w:val="001A0E7D"/>
    <w:rsid w:val="001A5D4C"/>
    <w:rsid w:val="001B5F18"/>
    <w:rsid w:val="001C3A3A"/>
    <w:rsid w:val="001D08FF"/>
    <w:rsid w:val="001D0C96"/>
    <w:rsid w:val="0020305A"/>
    <w:rsid w:val="00217D9A"/>
    <w:rsid w:val="00224A9C"/>
    <w:rsid w:val="00224BEE"/>
    <w:rsid w:val="002401A8"/>
    <w:rsid w:val="00243AB1"/>
    <w:rsid w:val="002602A1"/>
    <w:rsid w:val="00264EDA"/>
    <w:rsid w:val="002651DF"/>
    <w:rsid w:val="002745D7"/>
    <w:rsid w:val="0027740A"/>
    <w:rsid w:val="00281381"/>
    <w:rsid w:val="00296D12"/>
    <w:rsid w:val="002A3A91"/>
    <w:rsid w:val="002B0429"/>
    <w:rsid w:val="002B53F1"/>
    <w:rsid w:val="002E094B"/>
    <w:rsid w:val="002F264F"/>
    <w:rsid w:val="00312013"/>
    <w:rsid w:val="003120AA"/>
    <w:rsid w:val="00315A4B"/>
    <w:rsid w:val="00326BE6"/>
    <w:rsid w:val="00341EBC"/>
    <w:rsid w:val="00343A9B"/>
    <w:rsid w:val="00362D66"/>
    <w:rsid w:val="003A1F54"/>
    <w:rsid w:val="003B65D6"/>
    <w:rsid w:val="003C4E74"/>
    <w:rsid w:val="003E4F93"/>
    <w:rsid w:val="003E6933"/>
    <w:rsid w:val="003F0256"/>
    <w:rsid w:val="00401FD3"/>
    <w:rsid w:val="00404C6A"/>
    <w:rsid w:val="00415BA3"/>
    <w:rsid w:val="004220BC"/>
    <w:rsid w:val="004334ED"/>
    <w:rsid w:val="004337CF"/>
    <w:rsid w:val="00434AF1"/>
    <w:rsid w:val="00441053"/>
    <w:rsid w:val="00447EA9"/>
    <w:rsid w:val="004657D4"/>
    <w:rsid w:val="004E0634"/>
    <w:rsid w:val="004E6D9E"/>
    <w:rsid w:val="004E708D"/>
    <w:rsid w:val="00502DD9"/>
    <w:rsid w:val="00554B59"/>
    <w:rsid w:val="0057141F"/>
    <w:rsid w:val="005974E0"/>
    <w:rsid w:val="005C7463"/>
    <w:rsid w:val="005D1FEB"/>
    <w:rsid w:val="005E766D"/>
    <w:rsid w:val="0062425D"/>
    <w:rsid w:val="00636257"/>
    <w:rsid w:val="00646E93"/>
    <w:rsid w:val="00687221"/>
    <w:rsid w:val="0069333A"/>
    <w:rsid w:val="00695072"/>
    <w:rsid w:val="006A4B7A"/>
    <w:rsid w:val="006A4BEF"/>
    <w:rsid w:val="006B6A19"/>
    <w:rsid w:val="006F4930"/>
    <w:rsid w:val="00726741"/>
    <w:rsid w:val="00730E4A"/>
    <w:rsid w:val="00751875"/>
    <w:rsid w:val="00773FB3"/>
    <w:rsid w:val="00774724"/>
    <w:rsid w:val="007C6E4C"/>
    <w:rsid w:val="007D6EB8"/>
    <w:rsid w:val="007D7786"/>
    <w:rsid w:val="007F6CD3"/>
    <w:rsid w:val="007F76CF"/>
    <w:rsid w:val="008072C8"/>
    <w:rsid w:val="008153CC"/>
    <w:rsid w:val="0081758B"/>
    <w:rsid w:val="0082625A"/>
    <w:rsid w:val="00836D31"/>
    <w:rsid w:val="008426DB"/>
    <w:rsid w:val="00861EF0"/>
    <w:rsid w:val="0086321A"/>
    <w:rsid w:val="008816AC"/>
    <w:rsid w:val="0089264A"/>
    <w:rsid w:val="008B292C"/>
    <w:rsid w:val="008B5A77"/>
    <w:rsid w:val="008E1109"/>
    <w:rsid w:val="008E423A"/>
    <w:rsid w:val="008E6F6A"/>
    <w:rsid w:val="008F04CA"/>
    <w:rsid w:val="008F4273"/>
    <w:rsid w:val="00931FA5"/>
    <w:rsid w:val="00935914"/>
    <w:rsid w:val="00935F9D"/>
    <w:rsid w:val="00950DAB"/>
    <w:rsid w:val="00962004"/>
    <w:rsid w:val="0096429D"/>
    <w:rsid w:val="00971E50"/>
    <w:rsid w:val="00990E9B"/>
    <w:rsid w:val="00991636"/>
    <w:rsid w:val="009A60A7"/>
    <w:rsid w:val="009B3A6D"/>
    <w:rsid w:val="009B65BF"/>
    <w:rsid w:val="009B7A32"/>
    <w:rsid w:val="009E5342"/>
    <w:rsid w:val="00A01509"/>
    <w:rsid w:val="00A05CFF"/>
    <w:rsid w:val="00A3070D"/>
    <w:rsid w:val="00A35222"/>
    <w:rsid w:val="00A407AA"/>
    <w:rsid w:val="00A50503"/>
    <w:rsid w:val="00A87F3C"/>
    <w:rsid w:val="00A97BCE"/>
    <w:rsid w:val="00AB3317"/>
    <w:rsid w:val="00AC2F87"/>
    <w:rsid w:val="00AD3F33"/>
    <w:rsid w:val="00AD6423"/>
    <w:rsid w:val="00AE6678"/>
    <w:rsid w:val="00AE6C59"/>
    <w:rsid w:val="00B01CD8"/>
    <w:rsid w:val="00B13F6E"/>
    <w:rsid w:val="00B26852"/>
    <w:rsid w:val="00B4574E"/>
    <w:rsid w:val="00B56314"/>
    <w:rsid w:val="00B63C94"/>
    <w:rsid w:val="00B650CA"/>
    <w:rsid w:val="00B65E66"/>
    <w:rsid w:val="00B714F6"/>
    <w:rsid w:val="00B81D45"/>
    <w:rsid w:val="00BA1700"/>
    <w:rsid w:val="00BB359E"/>
    <w:rsid w:val="00BC776D"/>
    <w:rsid w:val="00BE6F40"/>
    <w:rsid w:val="00BF3E6F"/>
    <w:rsid w:val="00C077CF"/>
    <w:rsid w:val="00C26FC4"/>
    <w:rsid w:val="00C4374C"/>
    <w:rsid w:val="00C500E5"/>
    <w:rsid w:val="00C51C82"/>
    <w:rsid w:val="00C614AF"/>
    <w:rsid w:val="00C67451"/>
    <w:rsid w:val="00C80954"/>
    <w:rsid w:val="00CB6207"/>
    <w:rsid w:val="00CC0229"/>
    <w:rsid w:val="00CD7645"/>
    <w:rsid w:val="00CD78EB"/>
    <w:rsid w:val="00CE391F"/>
    <w:rsid w:val="00CE6F83"/>
    <w:rsid w:val="00D0517C"/>
    <w:rsid w:val="00D1125F"/>
    <w:rsid w:val="00D127CB"/>
    <w:rsid w:val="00D20474"/>
    <w:rsid w:val="00D47FE1"/>
    <w:rsid w:val="00D54920"/>
    <w:rsid w:val="00D8454F"/>
    <w:rsid w:val="00D86F63"/>
    <w:rsid w:val="00DB03FE"/>
    <w:rsid w:val="00DD4E2B"/>
    <w:rsid w:val="00DF1BCA"/>
    <w:rsid w:val="00E0057A"/>
    <w:rsid w:val="00E6287A"/>
    <w:rsid w:val="00E75FCF"/>
    <w:rsid w:val="00E9003A"/>
    <w:rsid w:val="00E9308B"/>
    <w:rsid w:val="00E96221"/>
    <w:rsid w:val="00E97089"/>
    <w:rsid w:val="00EA758F"/>
    <w:rsid w:val="00EB44E1"/>
    <w:rsid w:val="00EB71E2"/>
    <w:rsid w:val="00ED0178"/>
    <w:rsid w:val="00ED1E24"/>
    <w:rsid w:val="00EE4A72"/>
    <w:rsid w:val="00EF3147"/>
    <w:rsid w:val="00F016F6"/>
    <w:rsid w:val="00F07941"/>
    <w:rsid w:val="00F11F11"/>
    <w:rsid w:val="00F13FCC"/>
    <w:rsid w:val="00F16F44"/>
    <w:rsid w:val="00F4486E"/>
    <w:rsid w:val="00F47D95"/>
    <w:rsid w:val="00F567F5"/>
    <w:rsid w:val="00F704C8"/>
    <w:rsid w:val="00F71E3A"/>
    <w:rsid w:val="00F7500F"/>
    <w:rsid w:val="00F75C5D"/>
    <w:rsid w:val="00FB15B8"/>
    <w:rsid w:val="00FB57B2"/>
    <w:rsid w:val="00FC2876"/>
    <w:rsid w:val="00FC719D"/>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0F1AFF8"/>
  <w15:docId w15:val="{8EAF5607-DCEA-4881-B5CA-CEE26B6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unhideWhenUsed/>
    <w:rsid w:val="0009158B"/>
    <w:rPr>
      <w:color w:val="660066"/>
      <w:u w:val="single"/>
    </w:rPr>
  </w:style>
  <w:style w:type="character" w:customStyle="1" w:styleId="UnresolvedMention1">
    <w:name w:val="Unresolved Mention1"/>
    <w:basedOn w:val="DefaultParagraphFont"/>
    <w:uiPriority w:val="99"/>
    <w:semiHidden/>
    <w:unhideWhenUsed/>
    <w:rsid w:val="00571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7E1C-D248-4915-BDE8-C2A4C340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dc:creator>
  <cp:keywords/>
  <cp:lastModifiedBy>Miss Hall</cp:lastModifiedBy>
  <cp:revision>5</cp:revision>
  <cp:lastPrinted>2019-04-05T11:29:00Z</cp:lastPrinted>
  <dcterms:created xsi:type="dcterms:W3CDTF">2023-03-21T14:28:00Z</dcterms:created>
  <dcterms:modified xsi:type="dcterms:W3CDTF">2023-03-21T14:37:00Z</dcterms:modified>
</cp:coreProperties>
</file>